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D4B0E">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w:t>
      </w:r>
    </w:p>
    <w:p w14:paraId="05E9C3E3">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ISO体系咨询与认证服务竞争性磋商采购文件</w:t>
      </w:r>
    </w:p>
    <w:p w14:paraId="42AEFF92">
      <w:pPr>
        <w:spacing w:line="360" w:lineRule="auto"/>
        <w:ind w:left="-720" w:firstLine="720"/>
        <w:jc w:val="center"/>
        <w:rPr>
          <w:rFonts w:ascii="宋体" w:hAnsi="宋体"/>
          <w:b/>
          <w:snapToGrid w:val="0"/>
          <w:spacing w:val="-2"/>
          <w:kern w:val="0"/>
          <w:sz w:val="36"/>
          <w:szCs w:val="20"/>
          <w:highlight w:val="none"/>
        </w:rPr>
      </w:pPr>
    </w:p>
    <w:p w14:paraId="34D433DF">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317C7B5F">
      <w:pPr>
        <w:pStyle w:val="15"/>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项目名称：ISO体系咨询与认证服务</w:t>
      </w:r>
    </w:p>
    <w:p w14:paraId="00B05767">
      <w:pPr>
        <w:pStyle w:val="15"/>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r>
        <w:rPr>
          <w:rFonts w:ascii="宋体" w:cs="宋体"/>
          <w:color w:val="000000"/>
          <w:szCs w:val="24"/>
          <w:highlight w:val="none"/>
        </w:rPr>
        <w:t xml:space="preserve"> </w:t>
      </w:r>
    </w:p>
    <w:p w14:paraId="67D95F2D">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50</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2BF7A70D">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10000</w:t>
      </w:r>
      <w:r>
        <w:rPr>
          <w:rFonts w:hint="eastAsia" w:ascii="宋体" w:hAnsi="宋体" w:cs="宋体"/>
          <w:color w:val="000000"/>
          <w:szCs w:val="24"/>
          <w:highlight w:val="none"/>
        </w:rPr>
        <w:t>元。</w:t>
      </w:r>
    </w:p>
    <w:p w14:paraId="02FADF5C">
      <w:pPr>
        <w:pStyle w:val="15"/>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ascii="宋体" w:hAnsi="宋体" w:cs="宋体"/>
          <w:color w:val="000000"/>
          <w:szCs w:val="24"/>
          <w:highlight w:val="none"/>
        </w:rPr>
        <w:t>中标方式：</w:t>
      </w:r>
      <w:r>
        <w:rPr>
          <w:rFonts w:hint="eastAsia" w:ascii="宋体" w:hAnsi="宋体" w:cs="宋体"/>
          <w:color w:val="000000"/>
          <w:szCs w:val="24"/>
          <w:highlight w:val="none"/>
        </w:rPr>
        <w:t>本项目采用竞争性磋商方式采购。</w:t>
      </w:r>
      <w:r>
        <w:rPr>
          <w:rFonts w:hint="eastAsia" w:ascii="宋体" w:hAnsi="宋体" w:cs="宋体"/>
          <w:szCs w:val="24"/>
          <w:highlight w:val="none"/>
        </w:rPr>
        <w:t>根据本采购文件“评分</w:t>
      </w:r>
      <w:r>
        <w:rPr>
          <w:rFonts w:ascii="宋体" w:hAnsi="宋体" w:cs="宋体"/>
          <w:szCs w:val="24"/>
          <w:highlight w:val="none"/>
        </w:rPr>
        <w:t>标准”</w:t>
      </w:r>
      <w:r>
        <w:rPr>
          <w:rFonts w:hint="eastAsia" w:ascii="宋体" w:hAnsi="宋体" w:cs="宋体"/>
          <w:szCs w:val="24"/>
          <w:highlight w:val="none"/>
        </w:rPr>
        <w:t>对</w:t>
      </w:r>
      <w:r>
        <w:rPr>
          <w:rFonts w:ascii="宋体" w:hAnsi="宋体" w:cs="宋体"/>
          <w:szCs w:val="24"/>
          <w:highlight w:val="none"/>
        </w:rPr>
        <w:t>各</w:t>
      </w:r>
      <w:r>
        <w:rPr>
          <w:rFonts w:hint="eastAsia" w:ascii="宋体" w:hAnsi="宋体" w:cs="宋体"/>
          <w:szCs w:val="24"/>
          <w:highlight w:val="none"/>
        </w:rPr>
        <w:t>投标文件</w:t>
      </w:r>
      <w:r>
        <w:rPr>
          <w:rFonts w:ascii="宋体" w:hAnsi="宋体" w:cs="宋体"/>
          <w:szCs w:val="24"/>
          <w:highlight w:val="none"/>
        </w:rPr>
        <w:t>进行评分，</w:t>
      </w:r>
      <w:r>
        <w:rPr>
          <w:rFonts w:hint="eastAsia" w:ascii="宋体" w:hAnsi="宋体" w:cs="宋体"/>
          <w:szCs w:val="24"/>
          <w:highlight w:val="none"/>
        </w:rPr>
        <w:t>总分</w:t>
      </w:r>
      <w:r>
        <w:rPr>
          <w:rFonts w:ascii="宋体" w:hAnsi="宋体" w:cs="宋体"/>
          <w:szCs w:val="24"/>
          <w:highlight w:val="none"/>
        </w:rPr>
        <w:t>最高</w:t>
      </w:r>
      <w:r>
        <w:rPr>
          <w:rFonts w:hint="eastAsia" w:ascii="宋体" w:hAnsi="宋体" w:cs="宋体"/>
          <w:szCs w:val="24"/>
          <w:highlight w:val="none"/>
        </w:rPr>
        <w:t>的投标人为第一</w:t>
      </w:r>
      <w:r>
        <w:rPr>
          <w:rFonts w:ascii="宋体" w:hAnsi="宋体" w:cs="宋体"/>
          <w:szCs w:val="24"/>
          <w:highlight w:val="none"/>
        </w:rPr>
        <w:t>中标候选人</w:t>
      </w:r>
      <w:r>
        <w:rPr>
          <w:rFonts w:hint="eastAsia" w:ascii="宋体" w:hAnsi="宋体" w:cs="宋体"/>
          <w:szCs w:val="24"/>
          <w:highlight w:val="none"/>
        </w:rPr>
        <w:t>；出现得分并列时，以投标价格较低的投标人为中标人，价格相同的则由评标委员会随机抽取中标候选人推荐中标。</w:t>
      </w:r>
    </w:p>
    <w:p w14:paraId="2670B0AD">
      <w:pPr>
        <w:pStyle w:val="15"/>
        <w:numPr>
          <w:ilvl w:val="0"/>
          <w:numId w:val="2"/>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6E4E4C10">
      <w:pPr>
        <w:autoSpaceDE w:val="0"/>
        <w:autoSpaceDN w:val="0"/>
        <w:adjustRightInd w:val="0"/>
        <w:spacing w:line="360" w:lineRule="auto"/>
        <w:ind w:left="480"/>
        <w:rPr>
          <w:rFonts w:ascii="宋体" w:hAnsi="宋体" w:cs="宋体"/>
          <w:color w:val="000000"/>
          <w:szCs w:val="24"/>
          <w:highlight w:val="none"/>
        </w:rPr>
      </w:pPr>
    </w:p>
    <w:p w14:paraId="3D742D39">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0772AF85">
      <w:pPr>
        <w:pStyle w:val="15"/>
        <w:numPr>
          <w:ilvl w:val="0"/>
          <w:numId w:val="3"/>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0D2EAA89">
      <w:pPr>
        <w:pStyle w:val="15"/>
        <w:numPr>
          <w:ilvl w:val="0"/>
          <w:numId w:val="3"/>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2271BD7B">
      <w:pPr>
        <w:pStyle w:val="15"/>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递交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48D33E36">
      <w:pPr>
        <w:pStyle w:val="15"/>
        <w:spacing w:line="360" w:lineRule="auto"/>
        <w:ind w:left="843" w:firstLine="0" w:firstLineChars="0"/>
        <w:rPr>
          <w:rFonts w:ascii="宋体" w:hAnsi="宋体"/>
          <w:highlight w:val="none"/>
        </w:rPr>
      </w:pPr>
      <w:r>
        <w:rPr>
          <w:rFonts w:hint="eastAsia" w:ascii="宋体" w:hAnsi="宋体"/>
          <w:highlight w:val="none"/>
        </w:rPr>
        <w:t>①“失信被执行人”情况查询记录截图（须包含投标人全称、查询结果及查询时间）</w:t>
      </w:r>
    </w:p>
    <w:p w14:paraId="5814C0C3">
      <w:pPr>
        <w:pStyle w:val="15"/>
        <w:spacing w:line="360" w:lineRule="auto"/>
        <w:ind w:left="843" w:firstLine="0" w:firstLineChars="0"/>
        <w:rPr>
          <w:rFonts w:ascii="宋体" w:hAnsi="宋体"/>
          <w:highlight w:val="none"/>
        </w:rPr>
      </w:pPr>
      <w:r>
        <w:rPr>
          <w:rFonts w:hint="eastAsia" w:ascii="宋体" w:hAnsi="宋体"/>
          <w:highlight w:val="none"/>
        </w:rPr>
        <w:t>②“重大税收违法失信主体”情况查询记录截图（须包含投标人全称、查询结果及查询时间）</w:t>
      </w:r>
    </w:p>
    <w:p w14:paraId="32CFC1A7">
      <w:pPr>
        <w:pStyle w:val="15"/>
        <w:spacing w:line="360" w:lineRule="auto"/>
        <w:ind w:left="843" w:firstLine="0" w:firstLineChars="0"/>
        <w:rPr>
          <w:rFonts w:ascii="宋体" w:hAnsi="宋体"/>
          <w:highlight w:val="none"/>
        </w:rPr>
      </w:pPr>
      <w:r>
        <w:rPr>
          <w:rFonts w:hint="eastAsia" w:ascii="宋体" w:hAnsi="宋体"/>
          <w:highlight w:val="none"/>
        </w:rPr>
        <w:t>③“政府采购严重违法失信行为记录名单”情况查询记录截图（须包含投标人全称、查询结果及查询时间）</w:t>
      </w:r>
    </w:p>
    <w:p w14:paraId="1BD36365">
      <w:pPr>
        <w:pStyle w:val="15"/>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30D4693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10F7573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020DA1F8">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4F9BE592">
      <w:pPr>
        <w:pStyle w:val="15"/>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08D77008">
      <w:pPr>
        <w:pStyle w:val="15"/>
        <w:numPr>
          <w:ilvl w:val="0"/>
          <w:numId w:val="3"/>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5F0F1FD1">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27F7A162">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6148C853">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4F25C2A4">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06CBE47B">
      <w:pPr>
        <w:pStyle w:val="15"/>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1F87EF43">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02EFD4CF">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2B3DA1EB">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61129FF0">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462FF858">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6B3D38A8">
      <w:pPr>
        <w:numPr>
          <w:ilvl w:val="0"/>
          <w:numId w:val="5"/>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8"/>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130"/>
        <w:gridCol w:w="1035"/>
        <w:gridCol w:w="975"/>
        <w:gridCol w:w="1470"/>
        <w:gridCol w:w="1290"/>
        <w:gridCol w:w="963"/>
      </w:tblGrid>
      <w:tr w14:paraId="0BE6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6C3054E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130" w:type="dxa"/>
            <w:vAlign w:val="center"/>
          </w:tcPr>
          <w:p w14:paraId="1977EA68">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1035" w:type="dxa"/>
            <w:vAlign w:val="center"/>
          </w:tcPr>
          <w:p w14:paraId="00E7ED7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38E05659">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975" w:type="dxa"/>
            <w:vAlign w:val="center"/>
          </w:tcPr>
          <w:p w14:paraId="24F6187A">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470" w:type="dxa"/>
          </w:tcPr>
          <w:p w14:paraId="1C8D59ED">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6A65C9A0">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1290" w:type="dxa"/>
          </w:tcPr>
          <w:p w14:paraId="2F83F1D3">
            <w:pPr>
              <w:spacing w:line="560" w:lineRule="exact"/>
              <w:jc w:val="center"/>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小计</w:t>
            </w:r>
          </w:p>
          <w:p w14:paraId="2A04141C">
            <w:pPr>
              <w:spacing w:line="560" w:lineRule="exact"/>
              <w:jc w:val="center"/>
              <w:rPr>
                <w:rFonts w:hint="eastAsia" w:ascii="宋体" w:hAnsi="宋体" w:eastAsia="宋体" w:cs="宋体"/>
                <w:b/>
                <w:sz w:val="24"/>
                <w:szCs w:val="24"/>
                <w:highlight w:val="none"/>
                <w:lang w:eastAsia="zh-CN"/>
              </w:rPr>
            </w:pPr>
            <w:r>
              <w:rPr>
                <w:rFonts w:hint="eastAsia" w:ascii="宋体" w:hAnsi="宋体" w:cs="宋体"/>
                <w:b/>
                <w:sz w:val="24"/>
                <w:szCs w:val="24"/>
                <w:highlight w:val="none"/>
                <w:lang w:eastAsia="zh-CN"/>
              </w:rPr>
              <w:t>（元）</w:t>
            </w:r>
          </w:p>
        </w:tc>
        <w:tc>
          <w:tcPr>
            <w:tcW w:w="963" w:type="dxa"/>
          </w:tcPr>
          <w:p w14:paraId="17F70E4B">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1BB0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06182061">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130" w:type="dxa"/>
            <w:vAlign w:val="center"/>
          </w:tcPr>
          <w:p w14:paraId="417CBDC7">
            <w:pPr>
              <w:jc w:val="left"/>
              <w:rPr>
                <w:rFonts w:ascii="宋体" w:hAnsi="宋体" w:cs="宋体"/>
                <w:sz w:val="24"/>
                <w:szCs w:val="24"/>
                <w:highlight w:val="none"/>
              </w:rPr>
            </w:pPr>
          </w:p>
        </w:tc>
        <w:tc>
          <w:tcPr>
            <w:tcW w:w="1035" w:type="dxa"/>
            <w:vAlign w:val="center"/>
          </w:tcPr>
          <w:p w14:paraId="34889846">
            <w:pPr>
              <w:adjustRightInd w:val="0"/>
              <w:snapToGrid w:val="0"/>
              <w:spacing w:line="560" w:lineRule="exact"/>
              <w:jc w:val="center"/>
              <w:rPr>
                <w:rFonts w:ascii="宋体" w:hAnsi="宋体" w:cs="宋体"/>
                <w:sz w:val="24"/>
                <w:szCs w:val="24"/>
                <w:highlight w:val="none"/>
              </w:rPr>
            </w:pPr>
          </w:p>
        </w:tc>
        <w:tc>
          <w:tcPr>
            <w:tcW w:w="975" w:type="dxa"/>
            <w:vAlign w:val="center"/>
          </w:tcPr>
          <w:p w14:paraId="7A1B474B">
            <w:pPr>
              <w:adjustRightInd w:val="0"/>
              <w:snapToGrid w:val="0"/>
              <w:spacing w:line="560" w:lineRule="exact"/>
              <w:jc w:val="center"/>
              <w:rPr>
                <w:rFonts w:ascii="宋体" w:hAnsi="宋体" w:cs="宋体"/>
                <w:sz w:val="24"/>
                <w:szCs w:val="24"/>
                <w:highlight w:val="none"/>
              </w:rPr>
            </w:pPr>
          </w:p>
        </w:tc>
        <w:tc>
          <w:tcPr>
            <w:tcW w:w="1470" w:type="dxa"/>
          </w:tcPr>
          <w:p w14:paraId="610D9564">
            <w:pPr>
              <w:adjustRightInd w:val="0"/>
              <w:snapToGrid w:val="0"/>
              <w:spacing w:line="560" w:lineRule="exact"/>
              <w:rPr>
                <w:rFonts w:ascii="宋体" w:hAnsi="宋体" w:cs="宋体"/>
                <w:sz w:val="24"/>
                <w:szCs w:val="24"/>
                <w:highlight w:val="none"/>
              </w:rPr>
            </w:pPr>
          </w:p>
        </w:tc>
        <w:tc>
          <w:tcPr>
            <w:tcW w:w="1290" w:type="dxa"/>
          </w:tcPr>
          <w:p w14:paraId="0C5B5F9D">
            <w:pPr>
              <w:adjustRightInd w:val="0"/>
              <w:snapToGrid w:val="0"/>
              <w:spacing w:line="560" w:lineRule="exact"/>
              <w:jc w:val="center"/>
              <w:rPr>
                <w:rFonts w:ascii="宋体" w:hAnsi="宋体" w:cs="宋体"/>
                <w:sz w:val="24"/>
                <w:szCs w:val="24"/>
                <w:highlight w:val="none"/>
              </w:rPr>
            </w:pPr>
          </w:p>
        </w:tc>
        <w:tc>
          <w:tcPr>
            <w:tcW w:w="963" w:type="dxa"/>
          </w:tcPr>
          <w:p w14:paraId="4D742D42">
            <w:pPr>
              <w:adjustRightInd w:val="0"/>
              <w:snapToGrid w:val="0"/>
              <w:spacing w:line="560" w:lineRule="exact"/>
              <w:jc w:val="center"/>
              <w:rPr>
                <w:rFonts w:ascii="宋体" w:hAnsi="宋体" w:cs="宋体"/>
                <w:sz w:val="24"/>
                <w:szCs w:val="24"/>
                <w:highlight w:val="none"/>
              </w:rPr>
            </w:pPr>
          </w:p>
        </w:tc>
      </w:tr>
      <w:tr w14:paraId="23F1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6688EAE8">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2</w:t>
            </w:r>
          </w:p>
        </w:tc>
        <w:tc>
          <w:tcPr>
            <w:tcW w:w="3130" w:type="dxa"/>
            <w:vAlign w:val="center"/>
          </w:tcPr>
          <w:p w14:paraId="1DFC5AC6">
            <w:pPr>
              <w:jc w:val="left"/>
              <w:rPr>
                <w:rFonts w:ascii="宋体" w:hAnsi="宋体" w:cs="宋体"/>
                <w:sz w:val="24"/>
                <w:szCs w:val="24"/>
                <w:highlight w:val="none"/>
              </w:rPr>
            </w:pPr>
          </w:p>
        </w:tc>
        <w:tc>
          <w:tcPr>
            <w:tcW w:w="1035" w:type="dxa"/>
            <w:shd w:val="clear" w:color="auto" w:fill="auto"/>
            <w:vAlign w:val="center"/>
          </w:tcPr>
          <w:p w14:paraId="2A4CFA37">
            <w:pPr>
              <w:adjustRightInd w:val="0"/>
              <w:snapToGrid w:val="0"/>
              <w:spacing w:line="560" w:lineRule="exact"/>
              <w:jc w:val="center"/>
              <w:rPr>
                <w:rFonts w:ascii="宋体" w:hAnsi="宋体" w:cs="宋体"/>
                <w:sz w:val="24"/>
                <w:szCs w:val="24"/>
                <w:highlight w:val="none"/>
              </w:rPr>
            </w:pPr>
          </w:p>
        </w:tc>
        <w:tc>
          <w:tcPr>
            <w:tcW w:w="975" w:type="dxa"/>
            <w:shd w:val="clear" w:color="auto" w:fill="auto"/>
            <w:vAlign w:val="center"/>
          </w:tcPr>
          <w:p w14:paraId="7B868865">
            <w:pPr>
              <w:adjustRightInd w:val="0"/>
              <w:snapToGrid w:val="0"/>
              <w:spacing w:line="560" w:lineRule="exact"/>
              <w:jc w:val="center"/>
              <w:rPr>
                <w:rFonts w:ascii="宋体" w:hAnsi="宋体" w:cs="宋体"/>
                <w:sz w:val="24"/>
                <w:szCs w:val="24"/>
                <w:highlight w:val="none"/>
              </w:rPr>
            </w:pPr>
          </w:p>
        </w:tc>
        <w:tc>
          <w:tcPr>
            <w:tcW w:w="1470" w:type="dxa"/>
            <w:shd w:val="clear" w:color="auto" w:fill="auto"/>
          </w:tcPr>
          <w:p w14:paraId="64D97FAA">
            <w:pPr>
              <w:adjustRightInd w:val="0"/>
              <w:snapToGrid w:val="0"/>
              <w:spacing w:line="560" w:lineRule="exact"/>
              <w:rPr>
                <w:rFonts w:ascii="宋体" w:hAnsi="宋体" w:cs="宋体"/>
                <w:sz w:val="24"/>
                <w:szCs w:val="24"/>
                <w:highlight w:val="none"/>
              </w:rPr>
            </w:pPr>
          </w:p>
        </w:tc>
        <w:tc>
          <w:tcPr>
            <w:tcW w:w="1290" w:type="dxa"/>
          </w:tcPr>
          <w:p w14:paraId="7EF45D50">
            <w:pPr>
              <w:adjustRightInd w:val="0"/>
              <w:snapToGrid w:val="0"/>
              <w:spacing w:line="560" w:lineRule="exact"/>
              <w:jc w:val="center"/>
              <w:rPr>
                <w:rFonts w:ascii="宋体" w:hAnsi="宋体" w:cs="宋体"/>
                <w:sz w:val="24"/>
                <w:szCs w:val="24"/>
                <w:highlight w:val="none"/>
              </w:rPr>
            </w:pPr>
          </w:p>
        </w:tc>
        <w:tc>
          <w:tcPr>
            <w:tcW w:w="963" w:type="dxa"/>
          </w:tcPr>
          <w:p w14:paraId="5C4E6BA1">
            <w:pPr>
              <w:adjustRightInd w:val="0"/>
              <w:snapToGrid w:val="0"/>
              <w:spacing w:line="560" w:lineRule="exact"/>
              <w:jc w:val="center"/>
              <w:rPr>
                <w:rFonts w:ascii="宋体" w:hAnsi="宋体" w:cs="宋体"/>
                <w:sz w:val="24"/>
                <w:szCs w:val="24"/>
                <w:highlight w:val="none"/>
              </w:rPr>
            </w:pPr>
          </w:p>
        </w:tc>
      </w:tr>
      <w:tr w14:paraId="1599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394" w:type="dxa"/>
            <w:gridSpan w:val="5"/>
            <w:vAlign w:val="center"/>
          </w:tcPr>
          <w:p w14:paraId="0D2AA683">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1290" w:type="dxa"/>
          </w:tcPr>
          <w:p w14:paraId="2B7D544C">
            <w:pPr>
              <w:adjustRightInd w:val="0"/>
              <w:snapToGrid w:val="0"/>
              <w:spacing w:line="560" w:lineRule="exact"/>
              <w:jc w:val="center"/>
              <w:rPr>
                <w:rFonts w:ascii="宋体" w:hAnsi="宋体" w:cs="宋体"/>
                <w:sz w:val="24"/>
                <w:szCs w:val="24"/>
                <w:highlight w:val="none"/>
              </w:rPr>
            </w:pPr>
          </w:p>
        </w:tc>
        <w:tc>
          <w:tcPr>
            <w:tcW w:w="963" w:type="dxa"/>
          </w:tcPr>
          <w:p w14:paraId="4C637227">
            <w:pPr>
              <w:adjustRightInd w:val="0"/>
              <w:snapToGrid w:val="0"/>
              <w:spacing w:line="560" w:lineRule="exact"/>
              <w:jc w:val="center"/>
              <w:rPr>
                <w:rFonts w:ascii="宋体" w:hAnsi="宋体" w:cs="宋体"/>
                <w:sz w:val="24"/>
                <w:szCs w:val="24"/>
                <w:highlight w:val="none"/>
              </w:rPr>
            </w:pPr>
          </w:p>
        </w:tc>
      </w:tr>
    </w:tbl>
    <w:p w14:paraId="399242D3">
      <w:pPr>
        <w:autoSpaceDE w:val="0"/>
        <w:autoSpaceDN w:val="0"/>
        <w:adjustRightInd w:val="0"/>
        <w:spacing w:line="360" w:lineRule="auto"/>
        <w:ind w:left="840"/>
        <w:rPr>
          <w:rFonts w:ascii="宋体" w:hAnsi="宋体"/>
          <w:color w:val="000000"/>
          <w:sz w:val="24"/>
          <w:szCs w:val="24"/>
          <w:highlight w:val="none"/>
        </w:rPr>
      </w:pPr>
    </w:p>
    <w:p w14:paraId="1CC0D60C">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7A3CD4FD">
      <w:pPr>
        <w:autoSpaceDE w:val="0"/>
        <w:autoSpaceDN w:val="0"/>
        <w:adjustRightInd w:val="0"/>
        <w:spacing w:line="360" w:lineRule="auto"/>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p>
    <w:p w14:paraId="0FD32802">
      <w:pPr>
        <w:pStyle w:val="15"/>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0E4EAFA5">
      <w:pPr>
        <w:numPr>
          <w:ilvl w:val="0"/>
          <w:numId w:val="6"/>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提交针对需求中商务要求的响应，参考格式如下：</w:t>
      </w:r>
    </w:p>
    <w:p w14:paraId="627653AD">
      <w:pPr>
        <w:pStyle w:val="15"/>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0729A354">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20828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0C7B7B04">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030B6806">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4DE2D21C">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2DBC6A5A">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1C31751D">
            <w:pPr>
              <w:jc w:val="center"/>
              <w:rPr>
                <w:rFonts w:ascii="宋体" w:hAnsi="宋体"/>
                <w:sz w:val="24"/>
                <w:szCs w:val="24"/>
                <w:highlight w:val="none"/>
              </w:rPr>
            </w:pPr>
            <w:r>
              <w:rPr>
                <w:rFonts w:hint="eastAsia" w:ascii="宋体" w:hAnsi="宋体"/>
                <w:sz w:val="24"/>
                <w:szCs w:val="24"/>
                <w:highlight w:val="none"/>
              </w:rPr>
              <w:t>说明</w:t>
            </w:r>
          </w:p>
        </w:tc>
      </w:tr>
      <w:tr w14:paraId="0C53E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C5E8A9C">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4F42004">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F439FD7">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3234A9A1">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149F7E7C">
            <w:pPr>
              <w:spacing w:line="360" w:lineRule="atLeast"/>
              <w:jc w:val="center"/>
              <w:rPr>
                <w:rFonts w:ascii="宋体" w:hAnsi="宋体"/>
                <w:sz w:val="24"/>
                <w:szCs w:val="24"/>
                <w:highlight w:val="none"/>
              </w:rPr>
            </w:pPr>
          </w:p>
        </w:tc>
      </w:tr>
      <w:tr w14:paraId="51A9D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EB15DA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59E5252">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5F42E36B">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745B37CA">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6F236FFE">
            <w:pPr>
              <w:spacing w:line="360" w:lineRule="atLeast"/>
              <w:jc w:val="center"/>
              <w:rPr>
                <w:rFonts w:ascii="宋体" w:hAnsi="宋体"/>
                <w:sz w:val="24"/>
                <w:szCs w:val="24"/>
                <w:highlight w:val="none"/>
              </w:rPr>
            </w:pPr>
          </w:p>
        </w:tc>
      </w:tr>
      <w:tr w14:paraId="2C840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C22518F">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5621DB7">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AC1A31E">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18E81310">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48BB2E42">
            <w:pPr>
              <w:spacing w:line="360" w:lineRule="atLeast"/>
              <w:jc w:val="center"/>
              <w:rPr>
                <w:rFonts w:ascii="宋体" w:hAnsi="宋体"/>
                <w:sz w:val="24"/>
                <w:szCs w:val="24"/>
                <w:highlight w:val="none"/>
              </w:rPr>
            </w:pPr>
          </w:p>
        </w:tc>
      </w:tr>
    </w:tbl>
    <w:p w14:paraId="12E81135">
      <w:pPr>
        <w:pStyle w:val="15"/>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4F31BDF5">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0E9068EB">
      <w:pPr>
        <w:pStyle w:val="15"/>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40C7C0E2">
      <w:pPr>
        <w:pStyle w:val="15"/>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320E5796">
      <w:pPr>
        <w:numPr>
          <w:ilvl w:val="0"/>
          <w:numId w:val="6"/>
        </w:numPr>
        <w:autoSpaceDE w:val="0"/>
        <w:autoSpaceDN w:val="0"/>
        <w:adjustRightInd w:val="0"/>
        <w:spacing w:line="360" w:lineRule="auto"/>
        <w:rPr>
          <w:rFonts w:ascii="宋体" w:hAnsi="宋体"/>
          <w:sz w:val="24"/>
          <w:szCs w:val="24"/>
          <w:highlight w:val="none"/>
        </w:rPr>
      </w:pPr>
      <w:r>
        <w:rPr>
          <w:rFonts w:hint="eastAsia" w:ascii="宋体" w:hAnsi="宋体"/>
          <w:sz w:val="24"/>
          <w:szCs w:val="24"/>
          <w:highlight w:val="none"/>
        </w:rPr>
        <w:t>其他响应人认为有必要提供的资料。</w:t>
      </w:r>
    </w:p>
    <w:p w14:paraId="2D3B4A5B">
      <w:pPr>
        <w:pStyle w:val="15"/>
        <w:autoSpaceDE w:val="0"/>
        <w:autoSpaceDN w:val="0"/>
        <w:adjustRightInd w:val="0"/>
        <w:spacing w:line="360" w:lineRule="auto"/>
        <w:ind w:left="927" w:firstLine="0" w:firstLineChars="0"/>
        <w:rPr>
          <w:rFonts w:ascii="宋体" w:hAnsi="宋体"/>
          <w:color w:val="000000"/>
          <w:szCs w:val="24"/>
          <w:highlight w:val="none"/>
        </w:rPr>
      </w:pPr>
    </w:p>
    <w:p w14:paraId="2D725FA2">
      <w:pPr>
        <w:pStyle w:val="15"/>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27528D79">
      <w:pPr>
        <w:pStyle w:val="15"/>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20AE550F">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55ABDF5D">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7EF86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6354F0E1">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4E516120">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079BB03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0C30150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3FA0BBE0">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6B747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02F68E56">
            <w:pPr>
              <w:spacing w:line="360" w:lineRule="atLeast"/>
              <w:rPr>
                <w:rFonts w:ascii="宋体" w:hAnsi="Courier New"/>
                <w:color w:val="000000"/>
                <w:sz w:val="24"/>
                <w:szCs w:val="24"/>
                <w:highlight w:val="none"/>
              </w:rPr>
            </w:pPr>
          </w:p>
        </w:tc>
        <w:tc>
          <w:tcPr>
            <w:tcW w:w="2377" w:type="dxa"/>
          </w:tcPr>
          <w:p w14:paraId="0590288A">
            <w:pPr>
              <w:spacing w:line="360" w:lineRule="atLeast"/>
              <w:rPr>
                <w:rFonts w:ascii="宋体" w:hAnsi="Courier New"/>
                <w:color w:val="000000"/>
                <w:sz w:val="24"/>
                <w:szCs w:val="24"/>
                <w:highlight w:val="none"/>
              </w:rPr>
            </w:pPr>
          </w:p>
        </w:tc>
        <w:tc>
          <w:tcPr>
            <w:tcW w:w="2268" w:type="dxa"/>
          </w:tcPr>
          <w:p w14:paraId="35404BAF">
            <w:pPr>
              <w:spacing w:line="360" w:lineRule="atLeast"/>
              <w:rPr>
                <w:rFonts w:ascii="宋体" w:hAnsi="Courier New"/>
                <w:color w:val="000000"/>
                <w:sz w:val="24"/>
                <w:szCs w:val="24"/>
                <w:highlight w:val="none"/>
              </w:rPr>
            </w:pPr>
          </w:p>
        </w:tc>
        <w:tc>
          <w:tcPr>
            <w:tcW w:w="1701" w:type="dxa"/>
          </w:tcPr>
          <w:p w14:paraId="5A4D341A">
            <w:pPr>
              <w:spacing w:line="360" w:lineRule="atLeast"/>
              <w:rPr>
                <w:rFonts w:ascii="宋体" w:hAnsi="Courier New"/>
                <w:color w:val="000000"/>
                <w:sz w:val="24"/>
                <w:szCs w:val="24"/>
                <w:highlight w:val="none"/>
              </w:rPr>
            </w:pPr>
          </w:p>
        </w:tc>
        <w:tc>
          <w:tcPr>
            <w:tcW w:w="1418" w:type="dxa"/>
          </w:tcPr>
          <w:p w14:paraId="30A15C24">
            <w:pPr>
              <w:spacing w:line="360" w:lineRule="atLeast"/>
              <w:rPr>
                <w:rFonts w:ascii="宋体" w:hAnsi="Courier New"/>
                <w:color w:val="000000"/>
                <w:sz w:val="24"/>
                <w:szCs w:val="24"/>
                <w:highlight w:val="none"/>
              </w:rPr>
            </w:pPr>
          </w:p>
        </w:tc>
      </w:tr>
      <w:tr w14:paraId="23D18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1E7C6E75">
            <w:pPr>
              <w:spacing w:line="360" w:lineRule="atLeast"/>
              <w:rPr>
                <w:rFonts w:ascii="宋体" w:hAnsi="Courier New"/>
                <w:color w:val="000000"/>
                <w:sz w:val="24"/>
                <w:szCs w:val="24"/>
                <w:highlight w:val="none"/>
              </w:rPr>
            </w:pPr>
          </w:p>
        </w:tc>
        <w:tc>
          <w:tcPr>
            <w:tcW w:w="2377" w:type="dxa"/>
          </w:tcPr>
          <w:p w14:paraId="006EDC6F">
            <w:pPr>
              <w:spacing w:line="360" w:lineRule="atLeast"/>
              <w:rPr>
                <w:rFonts w:ascii="宋体" w:hAnsi="Courier New"/>
                <w:color w:val="000000"/>
                <w:sz w:val="24"/>
                <w:szCs w:val="24"/>
                <w:highlight w:val="none"/>
              </w:rPr>
            </w:pPr>
          </w:p>
        </w:tc>
        <w:tc>
          <w:tcPr>
            <w:tcW w:w="2268" w:type="dxa"/>
          </w:tcPr>
          <w:p w14:paraId="309F4A13">
            <w:pPr>
              <w:spacing w:line="360" w:lineRule="atLeast"/>
              <w:rPr>
                <w:rFonts w:ascii="宋体" w:hAnsi="Courier New"/>
                <w:color w:val="000000"/>
                <w:sz w:val="24"/>
                <w:szCs w:val="24"/>
                <w:highlight w:val="none"/>
              </w:rPr>
            </w:pPr>
          </w:p>
        </w:tc>
        <w:tc>
          <w:tcPr>
            <w:tcW w:w="1701" w:type="dxa"/>
          </w:tcPr>
          <w:p w14:paraId="28C6909D">
            <w:pPr>
              <w:spacing w:line="360" w:lineRule="atLeast"/>
              <w:rPr>
                <w:rFonts w:ascii="宋体" w:hAnsi="Courier New"/>
                <w:color w:val="000000"/>
                <w:sz w:val="24"/>
                <w:szCs w:val="24"/>
                <w:highlight w:val="none"/>
              </w:rPr>
            </w:pPr>
          </w:p>
        </w:tc>
        <w:tc>
          <w:tcPr>
            <w:tcW w:w="1418" w:type="dxa"/>
          </w:tcPr>
          <w:p w14:paraId="492B781C">
            <w:pPr>
              <w:spacing w:line="360" w:lineRule="atLeast"/>
              <w:rPr>
                <w:rFonts w:ascii="宋体" w:hAnsi="Courier New"/>
                <w:color w:val="000000"/>
                <w:sz w:val="24"/>
                <w:szCs w:val="24"/>
                <w:highlight w:val="none"/>
              </w:rPr>
            </w:pPr>
          </w:p>
        </w:tc>
      </w:tr>
      <w:tr w14:paraId="1E7E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5826F61E">
            <w:pPr>
              <w:spacing w:line="360" w:lineRule="atLeast"/>
              <w:rPr>
                <w:rFonts w:ascii="宋体" w:hAnsi="Courier New"/>
                <w:color w:val="000000"/>
                <w:sz w:val="24"/>
                <w:szCs w:val="24"/>
                <w:highlight w:val="none"/>
              </w:rPr>
            </w:pPr>
          </w:p>
        </w:tc>
        <w:tc>
          <w:tcPr>
            <w:tcW w:w="2377" w:type="dxa"/>
          </w:tcPr>
          <w:p w14:paraId="4EDF49FD">
            <w:pPr>
              <w:spacing w:line="360" w:lineRule="atLeast"/>
              <w:rPr>
                <w:rFonts w:ascii="宋体" w:hAnsi="Courier New"/>
                <w:color w:val="000000"/>
                <w:sz w:val="24"/>
                <w:szCs w:val="24"/>
                <w:highlight w:val="none"/>
              </w:rPr>
            </w:pPr>
          </w:p>
        </w:tc>
        <w:tc>
          <w:tcPr>
            <w:tcW w:w="2268" w:type="dxa"/>
          </w:tcPr>
          <w:p w14:paraId="1F4C0EC2">
            <w:pPr>
              <w:spacing w:line="360" w:lineRule="atLeast"/>
              <w:rPr>
                <w:rFonts w:ascii="宋体" w:hAnsi="Courier New"/>
                <w:color w:val="000000"/>
                <w:sz w:val="24"/>
                <w:szCs w:val="24"/>
                <w:highlight w:val="none"/>
              </w:rPr>
            </w:pPr>
          </w:p>
        </w:tc>
        <w:tc>
          <w:tcPr>
            <w:tcW w:w="1701" w:type="dxa"/>
          </w:tcPr>
          <w:p w14:paraId="045DDF2E">
            <w:pPr>
              <w:spacing w:line="360" w:lineRule="atLeast"/>
              <w:rPr>
                <w:rFonts w:ascii="宋体" w:hAnsi="Courier New"/>
                <w:color w:val="000000"/>
                <w:sz w:val="24"/>
                <w:szCs w:val="24"/>
                <w:highlight w:val="none"/>
              </w:rPr>
            </w:pPr>
          </w:p>
        </w:tc>
        <w:tc>
          <w:tcPr>
            <w:tcW w:w="1418" w:type="dxa"/>
          </w:tcPr>
          <w:p w14:paraId="1DE8A31E">
            <w:pPr>
              <w:spacing w:line="360" w:lineRule="atLeast"/>
              <w:rPr>
                <w:rFonts w:ascii="宋体" w:hAnsi="Courier New"/>
                <w:color w:val="000000"/>
                <w:sz w:val="24"/>
                <w:szCs w:val="24"/>
                <w:highlight w:val="none"/>
              </w:rPr>
            </w:pPr>
          </w:p>
        </w:tc>
      </w:tr>
    </w:tbl>
    <w:p w14:paraId="5A3D3C61">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047DD201">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E9E4D83">
      <w:pPr>
        <w:pStyle w:val="15"/>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10174843">
      <w:pPr>
        <w:pStyle w:val="15"/>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186E3777">
      <w:pPr>
        <w:pStyle w:val="15"/>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6BB05414">
      <w:pPr>
        <w:pStyle w:val="15"/>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2254203B">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04652670">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39713E4E">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397144AD">
      <w:pPr>
        <w:autoSpaceDE w:val="0"/>
        <w:autoSpaceDN w:val="0"/>
        <w:adjustRightInd w:val="0"/>
        <w:spacing w:before="100" w:beforeAutospacing="1"/>
        <w:outlineLvl w:val="0"/>
        <w:rPr>
          <w:rFonts w:ascii="黑体" w:eastAsia="黑体" w:cs="黑体"/>
          <w:color w:val="000000"/>
          <w:kern w:val="0"/>
          <w:sz w:val="28"/>
          <w:szCs w:val="28"/>
          <w:highlight w:val="none"/>
        </w:rPr>
      </w:pPr>
      <w:bookmarkStart w:id="0" w:name="_Hlk196838675"/>
      <w:r>
        <w:rPr>
          <w:rFonts w:hint="eastAsia" w:ascii="黑体" w:eastAsia="黑体" w:cs="黑体"/>
          <w:color w:val="000000"/>
          <w:kern w:val="0"/>
          <w:sz w:val="28"/>
          <w:szCs w:val="28"/>
          <w:highlight w:val="none"/>
        </w:rPr>
        <w:t>五、澄清与异议</w:t>
      </w:r>
    </w:p>
    <w:p w14:paraId="6A254A12">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133AB955">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70B174D3">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50CFDC85">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6F8E8DE4">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4C2D6CB6">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78C535C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776D764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1AABCC18">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34666FC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61F4FABE">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5E62BCFA">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021-</w:t>
      </w:r>
      <w:r>
        <w:rPr>
          <w:rFonts w:hint="eastAsia" w:ascii="宋体" w:hAnsi="宋体"/>
          <w:color w:val="000000"/>
          <w:sz w:val="24"/>
          <w:szCs w:val="24"/>
          <w:highlight w:val="none"/>
        </w:rPr>
        <w:t>33128863，地址：上海市中山南路6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0FD0DABB">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52F6F7E8">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14:paraId="4059A27F">
      <w:pPr>
        <w:autoSpaceDE w:val="0"/>
        <w:autoSpaceDN w:val="0"/>
        <w:adjustRightInd w:val="0"/>
        <w:spacing w:line="360" w:lineRule="auto"/>
        <w:rPr>
          <w:rFonts w:ascii="宋体" w:hAnsi="宋体" w:cs="宋体"/>
          <w:color w:val="000000"/>
          <w:kern w:val="0"/>
          <w:sz w:val="24"/>
          <w:szCs w:val="24"/>
          <w:highlight w:val="none"/>
        </w:rPr>
      </w:pPr>
    </w:p>
    <w:p w14:paraId="40C535F1">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01512E9E">
      <w:pPr>
        <w:pStyle w:val="15"/>
        <w:numPr>
          <w:ilvl w:val="0"/>
          <w:numId w:val="9"/>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bookmarkStart w:id="3" w:name="_GoBack"/>
      <w:bookmarkEnd w:id="3"/>
    </w:p>
    <w:p w14:paraId="054C5A66">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26</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32A83228">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309775B8">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48A3B2BE">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7F19CBE7">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19</w:t>
      </w:r>
      <w:r>
        <w:rPr>
          <w:rFonts w:hint="eastAsia" w:ascii="宋体" w:hAnsi="宋体" w:cs="宋体"/>
          <w:color w:val="000000"/>
          <w:kern w:val="0"/>
          <w:sz w:val="24"/>
          <w:szCs w:val="24"/>
          <w:highlight w:val="none"/>
        </w:rPr>
        <w:t>日</w:t>
      </w:r>
    </w:p>
    <w:p w14:paraId="4487E548">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附件一：（参考格式）</w:t>
      </w:r>
    </w:p>
    <w:p w14:paraId="7AAC916B">
      <w:pPr>
        <w:pStyle w:val="16"/>
        <w:spacing w:before="120"/>
        <w:rPr>
          <w:rFonts w:ascii="宋体" w:hAnsi="宋体" w:eastAsia="宋体"/>
          <w:b/>
          <w:bCs/>
          <w:color w:val="000000"/>
          <w:kern w:val="2"/>
          <w:sz w:val="36"/>
          <w:szCs w:val="36"/>
          <w:highlight w:val="none"/>
        </w:rPr>
      </w:pPr>
    </w:p>
    <w:p w14:paraId="0707CC26">
      <w:pPr>
        <w:pStyle w:val="16"/>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12E81F92">
      <w:pPr>
        <w:spacing w:line="360" w:lineRule="auto"/>
        <w:ind w:firstLine="480" w:firstLineChars="200"/>
        <w:rPr>
          <w:rFonts w:ascii="宋体" w:hAnsi="宋体"/>
          <w:color w:val="000000"/>
          <w:sz w:val="24"/>
          <w:highlight w:val="none"/>
        </w:rPr>
      </w:pPr>
    </w:p>
    <w:p w14:paraId="21022ED6">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47CECE93">
      <w:pPr>
        <w:spacing w:line="360" w:lineRule="auto"/>
        <w:ind w:firstLine="480" w:firstLineChars="200"/>
        <w:rPr>
          <w:rFonts w:ascii="宋体" w:hAnsi="宋体"/>
          <w:color w:val="000000"/>
          <w:sz w:val="24"/>
          <w:highlight w:val="none"/>
        </w:rPr>
      </w:pPr>
    </w:p>
    <w:p w14:paraId="67F6A920">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6DC29EC6">
      <w:pPr>
        <w:spacing w:line="360" w:lineRule="auto"/>
        <w:rPr>
          <w:rFonts w:ascii="宋体" w:hAnsi="宋体"/>
          <w:color w:val="000000"/>
          <w:sz w:val="24"/>
          <w:highlight w:val="none"/>
        </w:rPr>
      </w:pPr>
    </w:p>
    <w:p w14:paraId="1092B786">
      <w:pPr>
        <w:spacing w:line="360" w:lineRule="auto"/>
        <w:rPr>
          <w:rFonts w:ascii="宋体" w:hAnsi="宋体"/>
          <w:color w:val="000000"/>
          <w:sz w:val="24"/>
          <w:highlight w:val="none"/>
        </w:rPr>
      </w:pPr>
    </w:p>
    <w:p w14:paraId="53DC2049">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51995AA6">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082E7087">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79258C58">
      <w:pPr>
        <w:spacing w:line="360" w:lineRule="auto"/>
        <w:rPr>
          <w:rFonts w:ascii="宋体" w:hAnsi="宋体"/>
          <w:color w:val="000000"/>
          <w:sz w:val="24"/>
          <w:highlight w:val="none"/>
        </w:rPr>
      </w:pPr>
    </w:p>
    <w:p w14:paraId="5AB734F0">
      <w:pPr>
        <w:widowControl/>
        <w:jc w:val="left"/>
        <w:rPr>
          <w:rFonts w:ascii="宋体" w:hAnsi="宋体"/>
          <w:b/>
          <w:color w:val="000000"/>
          <w:sz w:val="24"/>
          <w:highlight w:val="none"/>
          <w:u w:val="single"/>
        </w:rPr>
      </w:pPr>
    </w:p>
    <w:p w14:paraId="58065992">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16FC5574">
      <w:pPr>
        <w:rPr>
          <w:rFonts w:ascii="宋体" w:hAnsi="宋体"/>
          <w:color w:val="000000"/>
          <w:szCs w:val="21"/>
          <w:highlight w:val="none"/>
        </w:rPr>
      </w:pPr>
    </w:p>
    <w:p w14:paraId="713078F7">
      <w:pPr>
        <w:rPr>
          <w:rFonts w:ascii="宋体" w:hAnsi="宋体"/>
          <w:color w:val="000000"/>
          <w:szCs w:val="21"/>
          <w:highlight w:val="none"/>
        </w:rPr>
      </w:pPr>
    </w:p>
    <w:p w14:paraId="2A548DCC">
      <w:pPr>
        <w:rPr>
          <w:rFonts w:ascii="宋体" w:hAnsi="宋体"/>
          <w:color w:val="000000"/>
          <w:szCs w:val="21"/>
          <w:highlight w:val="none"/>
        </w:rPr>
      </w:pPr>
    </w:p>
    <w:p w14:paraId="7144757E">
      <w:pPr>
        <w:rPr>
          <w:rFonts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1A2CD61B">
      <w:pPr>
        <w:rPr>
          <w:rFonts w:ascii="宋体" w:hAnsi="宋体"/>
          <w:color w:val="000000"/>
          <w:sz w:val="24"/>
          <w:szCs w:val="24"/>
          <w:highlight w:val="none"/>
        </w:rPr>
      </w:pPr>
    </w:p>
    <w:p w14:paraId="034EAE3B">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一、</w:t>
      </w:r>
      <w:r>
        <w:rPr>
          <w:rFonts w:hint="eastAsia" w:ascii="宋体" w:hAnsi="宋体" w:eastAsia="宋体" w:cs="宋体"/>
          <w:sz w:val="24"/>
          <w:szCs w:val="24"/>
          <w:highlight w:val="none"/>
        </w:rPr>
        <w:t>项目概况</w:t>
      </w:r>
    </w:p>
    <w:tbl>
      <w:tblPr>
        <w:tblStyle w:val="8"/>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997"/>
        <w:gridCol w:w="6956"/>
      </w:tblGrid>
      <w:tr w14:paraId="6A14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shd w:val="clear" w:color="auto" w:fill="FFFFFF"/>
            <w:noWrap w:val="0"/>
            <w:vAlign w:val="top"/>
          </w:tcPr>
          <w:p w14:paraId="6019E8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010" w:type="pct"/>
            <w:shd w:val="clear" w:color="auto" w:fill="FFFFFF"/>
            <w:noWrap w:val="0"/>
            <w:vAlign w:val="top"/>
          </w:tcPr>
          <w:p w14:paraId="0D4D66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内 容</w:t>
            </w:r>
          </w:p>
        </w:tc>
        <w:tc>
          <w:tcPr>
            <w:tcW w:w="3517" w:type="pct"/>
            <w:shd w:val="clear" w:color="auto" w:fill="FFFFFF"/>
            <w:noWrap w:val="0"/>
            <w:vAlign w:val="top"/>
          </w:tcPr>
          <w:p w14:paraId="4BC480B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说    明</w:t>
            </w:r>
          </w:p>
        </w:tc>
      </w:tr>
      <w:tr w14:paraId="24A8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585A74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10" w:type="pct"/>
            <w:noWrap w:val="0"/>
            <w:vAlign w:val="center"/>
          </w:tcPr>
          <w:p w14:paraId="113804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3517" w:type="pct"/>
            <w:noWrap w:val="0"/>
            <w:vAlign w:val="center"/>
          </w:tcPr>
          <w:p w14:paraId="11B80FF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交易所通过了ISO 9001质量管理体系和ISO 27001信息安全管理体系认证。为保证管理体系的延续性和适用性，需开展ISO 体系咨询与认证工作。</w:t>
            </w:r>
          </w:p>
        </w:tc>
      </w:tr>
      <w:tr w14:paraId="19E0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372718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10" w:type="pct"/>
            <w:noWrap w:val="0"/>
            <w:vAlign w:val="center"/>
          </w:tcPr>
          <w:p w14:paraId="744CE3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3517" w:type="pct"/>
            <w:noWrap w:val="0"/>
            <w:vAlign w:val="center"/>
          </w:tcPr>
          <w:p w14:paraId="43CFE51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2026年完成ISO 9001质量管理体系和ISO 27001信息安全管理体系认证并取得认证证书，2027年、2028年通过年度监督审核，确保体系有效运行和持续改进。</w:t>
            </w:r>
          </w:p>
        </w:tc>
      </w:tr>
      <w:tr w14:paraId="66C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noWrap w:val="0"/>
            <w:vAlign w:val="center"/>
          </w:tcPr>
          <w:p w14:paraId="4EF1CE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10" w:type="pct"/>
            <w:noWrap w:val="0"/>
            <w:vAlign w:val="center"/>
          </w:tcPr>
          <w:p w14:paraId="57E7F1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范围</w:t>
            </w:r>
          </w:p>
        </w:tc>
        <w:tc>
          <w:tcPr>
            <w:tcW w:w="3517" w:type="pct"/>
            <w:noWrap w:val="0"/>
            <w:vAlign w:val="center"/>
          </w:tcPr>
          <w:p w14:paraId="09CFFAA4">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ISO 9001质量管理体系认证范围：技术运维保障部和技术开发中心；</w:t>
            </w:r>
          </w:p>
          <w:p w14:paraId="77F45758">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ISO 27001信息安全管理体系认证范围：技术运维保障部；</w:t>
            </w:r>
          </w:p>
          <w:p w14:paraId="47064355">
            <w:pPr>
              <w:keepNext w:val="0"/>
              <w:keepLines w:val="0"/>
              <w:pageBreakBefore w:val="0"/>
              <w:widowControl w:val="0"/>
              <w:numPr>
                <w:ilvl w:val="0"/>
                <w:numId w:val="10"/>
              </w:numPr>
              <w:kinsoku/>
              <w:wordWrap/>
              <w:overflowPunct/>
              <w:topLinePunct w:val="0"/>
              <w:autoSpaceDE/>
              <w:autoSpaceDN/>
              <w:bidi w:val="0"/>
              <w:adjustRightInd/>
              <w:snapToGrid/>
              <w:spacing w:line="560" w:lineRule="exact"/>
              <w:jc w:val="both"/>
              <w:textAlignment w:val="auto"/>
              <w:rPr>
                <w:rFonts w:hint="eastAsia" w:ascii="宋体" w:hAnsi="宋体" w:eastAsia="宋体" w:cs="宋体"/>
                <w:i/>
                <w:iCs/>
                <w:color w:val="0000FF"/>
                <w:sz w:val="24"/>
                <w:szCs w:val="24"/>
                <w:highlight w:val="none"/>
              </w:rPr>
            </w:pPr>
            <w:r>
              <w:rPr>
                <w:rFonts w:hint="eastAsia" w:ascii="宋体" w:hAnsi="宋体" w:eastAsia="宋体" w:cs="宋体"/>
                <w:sz w:val="24"/>
                <w:szCs w:val="24"/>
                <w:highlight w:val="none"/>
              </w:rPr>
              <w:t>服务地点：上海市中山南路 699 号。</w:t>
            </w:r>
          </w:p>
        </w:tc>
      </w:tr>
    </w:tbl>
    <w:p w14:paraId="74FF55CA">
      <w:pPr>
        <w:spacing w:line="360" w:lineRule="auto"/>
        <w:rPr>
          <w:rFonts w:hint="eastAsia" w:ascii="宋体" w:hAnsi="宋体" w:eastAsia="宋体" w:cs="宋体"/>
          <w:i/>
          <w:iCs/>
          <w:color w:val="0000FF"/>
          <w:sz w:val="24"/>
          <w:szCs w:val="24"/>
          <w:highlight w:val="none"/>
        </w:rPr>
      </w:pPr>
    </w:p>
    <w:p w14:paraId="3E7A077C">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二、</w:t>
      </w:r>
      <w:r>
        <w:rPr>
          <w:rFonts w:hint="eastAsia" w:ascii="宋体" w:hAnsi="宋体" w:eastAsia="宋体" w:cs="宋体"/>
          <w:sz w:val="24"/>
          <w:szCs w:val="24"/>
          <w:highlight w:val="none"/>
        </w:rPr>
        <w:t>采购标的汇总表</w:t>
      </w:r>
    </w:p>
    <w:tbl>
      <w:tblPr>
        <w:tblStyle w:val="8"/>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843"/>
        <w:gridCol w:w="1542"/>
        <w:gridCol w:w="1151"/>
        <w:gridCol w:w="917"/>
        <w:gridCol w:w="1068"/>
        <w:gridCol w:w="1199"/>
      </w:tblGrid>
      <w:tr w14:paraId="2104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2" w:type="dxa"/>
            <w:noWrap w:val="0"/>
            <w:vAlign w:val="center"/>
          </w:tcPr>
          <w:p w14:paraId="4A86AE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843" w:type="dxa"/>
            <w:noWrap w:val="0"/>
            <w:vAlign w:val="center"/>
          </w:tcPr>
          <w:p w14:paraId="287E278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542" w:type="dxa"/>
            <w:noWrap w:val="0"/>
            <w:vAlign w:val="center"/>
          </w:tcPr>
          <w:p w14:paraId="73F82F0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品目</w:t>
            </w:r>
          </w:p>
          <w:p w14:paraId="372BBC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分类编码</w:t>
            </w:r>
          </w:p>
        </w:tc>
        <w:tc>
          <w:tcPr>
            <w:tcW w:w="1151" w:type="dxa"/>
            <w:noWrap w:val="0"/>
            <w:vAlign w:val="center"/>
          </w:tcPr>
          <w:p w14:paraId="1A72A4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443BE1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917" w:type="dxa"/>
            <w:noWrap w:val="0"/>
            <w:vAlign w:val="center"/>
          </w:tcPr>
          <w:p w14:paraId="467B35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1068" w:type="dxa"/>
            <w:noWrap w:val="0"/>
            <w:vAlign w:val="center"/>
          </w:tcPr>
          <w:p w14:paraId="3BE7CB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是否核心产品</w:t>
            </w:r>
          </w:p>
        </w:tc>
        <w:tc>
          <w:tcPr>
            <w:tcW w:w="1199" w:type="dxa"/>
            <w:noWrap w:val="0"/>
            <w:vAlign w:val="center"/>
          </w:tcPr>
          <w:p w14:paraId="2E0D6B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w:t>
            </w:r>
          </w:p>
        </w:tc>
      </w:tr>
      <w:tr w14:paraId="4910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942" w:type="dxa"/>
            <w:noWrap w:val="0"/>
            <w:vAlign w:val="center"/>
          </w:tcPr>
          <w:p w14:paraId="0CE6B5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843" w:type="dxa"/>
            <w:noWrap w:val="0"/>
            <w:vAlign w:val="center"/>
          </w:tcPr>
          <w:p w14:paraId="3779A1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i/>
                <w:sz w:val="24"/>
                <w:szCs w:val="24"/>
                <w:highlight w:val="none"/>
                <w:u w:val="single"/>
              </w:rPr>
            </w:pPr>
            <w:r>
              <w:rPr>
                <w:rFonts w:hint="eastAsia" w:ascii="宋体" w:hAnsi="宋体" w:eastAsia="宋体" w:cs="宋体"/>
                <w:snapToGrid w:val="0"/>
                <w:kern w:val="0"/>
                <w:sz w:val="24"/>
                <w:szCs w:val="24"/>
                <w:highlight w:val="none"/>
              </w:rPr>
              <w:t>ISO体系咨询与认证服务</w:t>
            </w:r>
          </w:p>
        </w:tc>
        <w:tc>
          <w:tcPr>
            <w:tcW w:w="1542" w:type="dxa"/>
            <w:noWrap w:val="0"/>
            <w:vAlign w:val="center"/>
          </w:tcPr>
          <w:p w14:paraId="4F7ADC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C16060000</w:t>
            </w:r>
          </w:p>
        </w:tc>
        <w:tc>
          <w:tcPr>
            <w:tcW w:w="1151" w:type="dxa"/>
            <w:noWrap w:val="0"/>
            <w:vAlign w:val="center"/>
          </w:tcPr>
          <w:p w14:paraId="2D0683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w:t>
            </w:r>
          </w:p>
        </w:tc>
        <w:tc>
          <w:tcPr>
            <w:tcW w:w="917" w:type="dxa"/>
            <w:noWrap w:val="0"/>
            <w:vAlign w:val="center"/>
          </w:tcPr>
          <w:p w14:paraId="4CD4E3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068" w:type="dxa"/>
            <w:noWrap w:val="0"/>
            <w:vAlign w:val="center"/>
          </w:tcPr>
          <w:p w14:paraId="41F1C0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1199" w:type="dxa"/>
            <w:noWrap w:val="0"/>
            <w:vAlign w:val="center"/>
          </w:tcPr>
          <w:p w14:paraId="5187C7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50万元</w:t>
            </w:r>
          </w:p>
        </w:tc>
      </w:tr>
    </w:tbl>
    <w:p w14:paraId="3FA0C468">
      <w:pPr>
        <w:spacing w:line="560" w:lineRule="exact"/>
        <w:jc w:val="left"/>
        <w:rPr>
          <w:rFonts w:hint="eastAsia" w:ascii="宋体" w:hAnsi="宋体" w:eastAsia="宋体" w:cs="宋体"/>
          <w:i/>
          <w:sz w:val="24"/>
          <w:szCs w:val="24"/>
          <w:highlight w:val="none"/>
          <w:u w:val="single"/>
        </w:rPr>
      </w:pPr>
    </w:p>
    <w:p w14:paraId="2BF7123B">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三、</w:t>
      </w:r>
      <w:r>
        <w:rPr>
          <w:rFonts w:hint="eastAsia" w:ascii="宋体" w:hAnsi="宋体" w:eastAsia="宋体" w:cs="宋体"/>
          <w:sz w:val="24"/>
          <w:szCs w:val="24"/>
          <w:highlight w:val="none"/>
        </w:rPr>
        <w:t>技术商务要求</w:t>
      </w:r>
    </w:p>
    <w:p w14:paraId="7CE2793F">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1.技术要求</w:t>
      </w:r>
    </w:p>
    <w:tbl>
      <w:tblPr>
        <w:tblStyle w:val="8"/>
        <w:tblW w:w="10197" w:type="dxa"/>
        <w:tblInd w:w="-404" w:type="dxa"/>
        <w:tblLayout w:type="fixed"/>
        <w:tblCellMar>
          <w:top w:w="0" w:type="dxa"/>
          <w:left w:w="0" w:type="dxa"/>
          <w:bottom w:w="0" w:type="dxa"/>
          <w:right w:w="0" w:type="dxa"/>
        </w:tblCellMar>
      </w:tblPr>
      <w:tblGrid>
        <w:gridCol w:w="638"/>
        <w:gridCol w:w="864"/>
        <w:gridCol w:w="1608"/>
        <w:gridCol w:w="4087"/>
        <w:gridCol w:w="3000"/>
      </w:tblGrid>
      <w:tr w14:paraId="231731A2">
        <w:tblPrEx>
          <w:tblCellMar>
            <w:top w:w="0" w:type="dxa"/>
            <w:left w:w="0" w:type="dxa"/>
            <w:bottom w:w="0" w:type="dxa"/>
            <w:right w:w="0" w:type="dxa"/>
          </w:tblCellMar>
        </w:tblPrEx>
        <w:trPr>
          <w:trHeight w:val="652" w:hRule="atLeast"/>
          <w:tblHeader/>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46F1C2F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864" w:type="dxa"/>
            <w:tcBorders>
              <w:top w:val="single" w:color="000000" w:sz="4" w:space="0"/>
              <w:left w:val="single" w:color="000000" w:sz="4" w:space="0"/>
              <w:bottom w:val="single" w:color="000000" w:sz="4" w:space="0"/>
              <w:right w:val="single" w:color="000000" w:sz="4" w:space="0"/>
            </w:tcBorders>
            <w:noWrap w:val="0"/>
            <w:vAlign w:val="top"/>
          </w:tcPr>
          <w:p w14:paraId="350C02A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7B4730F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指标项</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6D46785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指标要求</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70BCA4B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3E2DB575">
        <w:tblPrEx>
          <w:tblCellMar>
            <w:top w:w="0" w:type="dxa"/>
            <w:left w:w="0" w:type="dxa"/>
            <w:bottom w:w="0" w:type="dxa"/>
            <w:right w:w="0"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2A1F93E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02EECA">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0CE68D5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napToGrid w:val="0"/>
                <w:kern w:val="0"/>
                <w:sz w:val="24"/>
                <w:szCs w:val="24"/>
                <w:highlight w:val="none"/>
              </w:rPr>
              <w:t>管理体系审核认证服务</w:t>
            </w:r>
            <w:r>
              <w:rPr>
                <w:rFonts w:hint="eastAsia" w:ascii="宋体" w:hAnsi="宋体" w:eastAsia="宋体" w:cs="宋体"/>
                <w:snapToGrid w:val="0"/>
                <w:kern w:val="0"/>
                <w:sz w:val="24"/>
                <w:szCs w:val="24"/>
                <w:highlight w:val="none"/>
                <w:lang w:val="en-US" w:eastAsia="zh-CN"/>
              </w:rPr>
              <w:t>-1</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0DEF36C0">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投标人提供的</w:t>
            </w:r>
            <w:r>
              <w:rPr>
                <w:rFonts w:hint="eastAsia" w:ascii="宋体" w:hAnsi="宋体" w:eastAsia="宋体" w:cs="宋体"/>
                <w:sz w:val="24"/>
                <w:szCs w:val="24"/>
                <w:highlight w:val="none"/>
              </w:rPr>
              <w:t>管理体系审核认证服务</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认证机构须具备有效期内的国家认证认可监督管理委员会颁发的《认证机构批准书》，且认证业务范围需包含“质量管理体系认证”和“信息安全管理体系认证”。</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BF92652">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须提供</w:t>
            </w:r>
            <w:r>
              <w:rPr>
                <w:rFonts w:hint="eastAsia" w:ascii="宋体" w:hAnsi="宋体" w:eastAsia="宋体" w:cs="宋体"/>
                <w:sz w:val="24"/>
                <w:szCs w:val="24"/>
                <w:highlight w:val="none"/>
                <w:lang w:eastAsia="zh-CN"/>
              </w:rPr>
              <w:t>认证机构有效期内的由</w:t>
            </w:r>
            <w:r>
              <w:rPr>
                <w:rFonts w:hint="eastAsia" w:ascii="宋体" w:hAnsi="宋体" w:eastAsia="宋体" w:cs="宋体"/>
                <w:sz w:val="24"/>
                <w:szCs w:val="24"/>
                <w:highlight w:val="none"/>
              </w:rPr>
              <w:t>国家认证认可监督管理委员会颁发的《认证机构批准书》及其附页的复印件。</w:t>
            </w:r>
          </w:p>
        </w:tc>
      </w:tr>
      <w:tr w14:paraId="3199C1F2">
        <w:tblPrEx>
          <w:tblCellMar>
            <w:top w:w="0" w:type="dxa"/>
            <w:left w:w="0" w:type="dxa"/>
            <w:bottom w:w="0" w:type="dxa"/>
            <w:right w:w="0" w:type="dxa"/>
          </w:tblCellMar>
        </w:tblPrEx>
        <w:trPr>
          <w:trHeight w:val="20" w:hRule="atLeast"/>
        </w:trPr>
        <w:tc>
          <w:tcPr>
            <w:tcW w:w="638" w:type="dxa"/>
            <w:tcBorders>
              <w:top w:val="single" w:color="000000" w:sz="4" w:space="0"/>
              <w:left w:val="single" w:color="000000" w:sz="4" w:space="0"/>
              <w:bottom w:val="single" w:color="000000" w:sz="4" w:space="0"/>
              <w:right w:val="single" w:color="000000" w:sz="4" w:space="0"/>
            </w:tcBorders>
            <w:noWrap w:val="0"/>
            <w:vAlign w:val="center"/>
          </w:tcPr>
          <w:p w14:paraId="7DE6276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DE228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tc>
        <w:tc>
          <w:tcPr>
            <w:tcW w:w="1608" w:type="dxa"/>
            <w:tcBorders>
              <w:top w:val="single" w:color="000000" w:sz="4" w:space="0"/>
              <w:left w:val="single" w:color="000000" w:sz="4" w:space="0"/>
              <w:bottom w:val="single" w:color="000000" w:sz="4" w:space="0"/>
              <w:right w:val="single" w:color="000000" w:sz="4" w:space="0"/>
            </w:tcBorders>
            <w:noWrap w:val="0"/>
            <w:vAlign w:val="center"/>
          </w:tcPr>
          <w:p w14:paraId="27BA1D5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宋体" w:hAnsi="宋体" w:eastAsia="宋体" w:cs="宋体"/>
                <w:snapToGrid w:val="0"/>
                <w:kern w:val="0"/>
                <w:sz w:val="24"/>
                <w:szCs w:val="24"/>
                <w:highlight w:val="none"/>
                <w:lang w:val="en-US"/>
              </w:rPr>
            </w:pPr>
            <w:r>
              <w:rPr>
                <w:rFonts w:hint="eastAsia" w:ascii="宋体" w:hAnsi="宋体" w:eastAsia="宋体" w:cs="宋体"/>
                <w:snapToGrid w:val="0"/>
                <w:kern w:val="0"/>
                <w:sz w:val="24"/>
                <w:szCs w:val="24"/>
                <w:highlight w:val="none"/>
              </w:rPr>
              <w:t>管理体系审核认证服务</w:t>
            </w:r>
            <w:r>
              <w:rPr>
                <w:rFonts w:hint="eastAsia" w:ascii="宋体" w:hAnsi="宋体" w:eastAsia="宋体" w:cs="宋体"/>
                <w:snapToGrid w:val="0"/>
                <w:kern w:val="0"/>
                <w:sz w:val="24"/>
                <w:szCs w:val="24"/>
                <w:highlight w:val="none"/>
                <w:lang w:val="en-US" w:eastAsia="zh-CN"/>
              </w:rPr>
              <w:t>-2</w:t>
            </w:r>
          </w:p>
        </w:tc>
        <w:tc>
          <w:tcPr>
            <w:tcW w:w="4087" w:type="dxa"/>
            <w:tcBorders>
              <w:top w:val="single" w:color="000000" w:sz="4" w:space="0"/>
              <w:left w:val="single" w:color="000000" w:sz="4" w:space="0"/>
              <w:bottom w:val="single" w:color="000000" w:sz="4" w:space="0"/>
              <w:right w:val="single" w:color="000000" w:sz="4" w:space="0"/>
            </w:tcBorders>
            <w:noWrap w:val="0"/>
            <w:vAlign w:val="center"/>
          </w:tcPr>
          <w:p w14:paraId="2214CE3E">
            <w:pPr>
              <w:keepNext w:val="0"/>
              <w:keepLines w:val="0"/>
              <w:pageBreakBefore w:val="0"/>
              <w:widowControl/>
              <w:kinsoku/>
              <w:wordWrap/>
              <w:overflowPunct/>
              <w:topLinePunct w:val="0"/>
              <w:autoSpaceDE/>
              <w:autoSpaceDN/>
              <w:bidi w:val="0"/>
              <w:adjustRightInd/>
              <w:snapToGrid/>
              <w:spacing w:line="560" w:lineRule="exact"/>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提供的管理体系审核认证服务的认证机构</w:t>
            </w:r>
            <w:r>
              <w:rPr>
                <w:rFonts w:hint="eastAsia" w:ascii="宋体" w:hAnsi="宋体" w:eastAsia="宋体" w:cs="宋体"/>
                <w:sz w:val="24"/>
                <w:szCs w:val="24"/>
                <w:highlight w:val="none"/>
                <w:lang w:eastAsia="zh-CN"/>
              </w:rPr>
              <w:t>须为</w:t>
            </w:r>
            <w:r>
              <w:rPr>
                <w:rFonts w:hint="eastAsia" w:ascii="宋体" w:hAnsi="宋体" w:eastAsia="宋体" w:cs="宋体"/>
                <w:sz w:val="24"/>
                <w:szCs w:val="24"/>
                <w:highlight w:val="none"/>
              </w:rPr>
              <w:t>中国合格评定国家认可委员会（CNAS）</w:t>
            </w:r>
            <w:r>
              <w:rPr>
                <w:rFonts w:hint="eastAsia" w:ascii="宋体" w:hAnsi="宋体" w:eastAsia="宋体" w:cs="宋体"/>
                <w:sz w:val="24"/>
                <w:szCs w:val="24"/>
                <w:highlight w:val="none"/>
                <w:lang w:eastAsia="zh-CN"/>
              </w:rPr>
              <w:t>认可的认证机构，认证领域应包含</w:t>
            </w:r>
            <w:r>
              <w:rPr>
                <w:rFonts w:hint="eastAsia" w:ascii="宋体" w:hAnsi="宋体" w:eastAsia="宋体" w:cs="宋体"/>
                <w:sz w:val="24"/>
                <w:szCs w:val="24"/>
                <w:highlight w:val="none"/>
                <w:lang w:val="en-US" w:eastAsia="zh-CN"/>
              </w:rPr>
              <w:t>ISO 9001</w:t>
            </w:r>
            <w:r>
              <w:rPr>
                <w:rFonts w:hint="eastAsia" w:ascii="宋体" w:hAnsi="宋体" w:eastAsia="宋体" w:cs="宋体"/>
                <w:sz w:val="24"/>
                <w:szCs w:val="24"/>
                <w:highlight w:val="none"/>
              </w:rPr>
              <w:t>质量管理体系</w:t>
            </w:r>
            <w:r>
              <w:rPr>
                <w:rFonts w:hint="eastAsia" w:ascii="宋体" w:hAnsi="宋体" w:eastAsia="宋体" w:cs="宋体"/>
                <w:sz w:val="24"/>
                <w:szCs w:val="24"/>
                <w:highlight w:val="none"/>
                <w:lang w:val="en-US" w:eastAsia="zh-CN"/>
              </w:rPr>
              <w:t>和ISO 27001</w:t>
            </w:r>
            <w:r>
              <w:rPr>
                <w:rFonts w:hint="eastAsia" w:ascii="宋体" w:hAnsi="宋体" w:eastAsia="宋体" w:cs="宋体"/>
                <w:sz w:val="24"/>
                <w:szCs w:val="24"/>
                <w:highlight w:val="none"/>
              </w:rPr>
              <w:t>信息安全管理体系。</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AA75DFF">
            <w:pPr>
              <w:widowControl/>
              <w:spacing w:line="360" w:lineRule="auto"/>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rPr>
              <w:t>是，投标人须提供</w:t>
            </w:r>
            <w:r>
              <w:rPr>
                <w:rFonts w:hint="eastAsia" w:ascii="宋体" w:hAnsi="宋体" w:eastAsia="宋体" w:cs="宋体"/>
                <w:sz w:val="24"/>
                <w:szCs w:val="24"/>
                <w:highlight w:val="none"/>
                <w:lang w:eastAsia="zh-CN"/>
              </w:rPr>
              <w:t>认证机构在中国合格评定国家认可委员会官网查询的“获认可认证机构信息查询”的截图（</w:t>
            </w:r>
            <w:r>
              <w:rPr>
                <w:rFonts w:hint="eastAsia" w:ascii="宋体" w:hAnsi="宋体" w:eastAsia="宋体" w:cs="宋体"/>
                <w:sz w:val="24"/>
                <w:szCs w:val="24"/>
                <w:highlight w:val="none"/>
              </w:rPr>
              <w:t>www.cnas.org.cn/fzlm/zxfw/index.html</w:t>
            </w:r>
            <w:r>
              <w:rPr>
                <w:rFonts w:hint="eastAsia" w:ascii="宋体" w:hAnsi="宋体" w:eastAsia="宋体" w:cs="宋体"/>
                <w:sz w:val="24"/>
                <w:szCs w:val="24"/>
                <w:highlight w:val="none"/>
                <w:lang w:eastAsia="zh-CN"/>
              </w:rPr>
              <w:t>），截图信息须包含单位名称、领域（含</w:t>
            </w:r>
            <w:r>
              <w:rPr>
                <w:rFonts w:hint="eastAsia" w:ascii="宋体" w:hAnsi="宋体" w:eastAsia="宋体" w:cs="宋体"/>
                <w:sz w:val="24"/>
                <w:szCs w:val="24"/>
                <w:highlight w:val="none"/>
                <w:lang w:val="en-US" w:eastAsia="zh-CN"/>
              </w:rPr>
              <w:t>QMS和ISMS</w:t>
            </w:r>
            <w:r>
              <w:rPr>
                <w:rFonts w:hint="eastAsia" w:ascii="宋体" w:hAnsi="宋体" w:eastAsia="宋体" w:cs="宋体"/>
                <w:sz w:val="24"/>
                <w:szCs w:val="24"/>
                <w:highlight w:val="none"/>
                <w:lang w:eastAsia="zh-CN"/>
              </w:rPr>
              <w:t>）、状态（为有效）</w:t>
            </w:r>
            <w:r>
              <w:rPr>
                <w:rFonts w:hint="eastAsia" w:ascii="宋体" w:hAnsi="宋体" w:eastAsia="宋体" w:cs="宋体"/>
                <w:sz w:val="24"/>
                <w:szCs w:val="24"/>
                <w:highlight w:val="none"/>
              </w:rPr>
              <w:t>。</w:t>
            </w:r>
          </w:p>
        </w:tc>
      </w:tr>
    </w:tbl>
    <w:p w14:paraId="5D38E9CC">
      <w:pPr>
        <w:spacing w:line="360" w:lineRule="auto"/>
        <w:rPr>
          <w:rFonts w:hint="eastAsia" w:ascii="宋体" w:hAnsi="宋体" w:eastAsia="宋体" w:cs="宋体"/>
          <w:i/>
          <w:iCs/>
          <w:color w:val="0000FF"/>
          <w:sz w:val="24"/>
          <w:szCs w:val="24"/>
          <w:highlight w:val="none"/>
        </w:rPr>
      </w:pPr>
    </w:p>
    <w:p w14:paraId="228AD4DA">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.商务要求</w:t>
      </w:r>
    </w:p>
    <w:p w14:paraId="592F46B8">
      <w:pPr>
        <w:spacing w:line="360" w:lineRule="auto"/>
        <w:ind w:firstLine="480" w:firstLineChars="200"/>
        <w:rPr>
          <w:rFonts w:hint="eastAsia" w:ascii="宋体" w:hAnsi="宋体" w:eastAsia="宋体" w:cs="宋体"/>
          <w:iCs/>
          <w:sz w:val="24"/>
          <w:szCs w:val="24"/>
          <w:highlight w:val="none"/>
          <w:lang w:val="en-US" w:eastAsia="zh-CN"/>
        </w:rPr>
      </w:pPr>
      <w:r>
        <w:rPr>
          <w:rFonts w:hint="eastAsia" w:ascii="宋体" w:hAnsi="宋体" w:eastAsia="宋体" w:cs="宋体"/>
          <w:iCs/>
          <w:sz w:val="24"/>
          <w:szCs w:val="24"/>
          <w:highlight w:val="none"/>
        </w:rPr>
        <w:t>A、服务要求</w:t>
      </w:r>
    </w:p>
    <w:tbl>
      <w:tblPr>
        <w:tblStyle w:val="8"/>
        <w:tblW w:w="10312" w:type="dxa"/>
        <w:jc w:val="center"/>
        <w:tblLayout w:type="fixed"/>
        <w:tblCellMar>
          <w:top w:w="0" w:type="dxa"/>
          <w:left w:w="0" w:type="dxa"/>
          <w:bottom w:w="0" w:type="dxa"/>
          <w:right w:w="0" w:type="dxa"/>
        </w:tblCellMar>
      </w:tblPr>
      <w:tblGrid>
        <w:gridCol w:w="817"/>
        <w:gridCol w:w="1005"/>
        <w:gridCol w:w="1660"/>
        <w:gridCol w:w="4851"/>
        <w:gridCol w:w="1979"/>
      </w:tblGrid>
      <w:tr w14:paraId="1AB87E65">
        <w:tblPrEx>
          <w:tblCellMar>
            <w:top w:w="0" w:type="dxa"/>
            <w:left w:w="0" w:type="dxa"/>
            <w:bottom w:w="0" w:type="dxa"/>
            <w:right w:w="0" w:type="dxa"/>
          </w:tblCellMar>
        </w:tblPrEx>
        <w:trPr>
          <w:trHeight w:val="90" w:hRule="atLeast"/>
          <w:tblHeader/>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1AC845F">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14:paraId="1C14F92B">
            <w:pPr>
              <w:widowControl/>
              <w:spacing w:line="72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4A0CCA43">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内容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6BEB0EB">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服务要求标准</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F57E38F">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7BA95502">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425A3408">
            <w:pPr>
              <w:widowControl/>
              <w:spacing w:line="560" w:lineRule="exact"/>
              <w:jc w:val="left"/>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一、服务总体要求</w:t>
            </w:r>
          </w:p>
        </w:tc>
      </w:tr>
      <w:tr w14:paraId="6D6DAA9D">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CE4BF3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0301B5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3B7257D4">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-1</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BEB9994">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依据最新版本ISO 9001质量管理体系和ISO 27001信息安全管理体系标准，为交易所提供体系认证范围梳理、法律法规合规性评估、同业最佳实践调研评估、体系策划、风险识别评估、体系制度完善、关键风险指标设计、信息安全意识培训、内部审核、管理评审等咨询、评估和支持服务。</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2178AC5">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57E30532">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3A5529C">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0643A6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3BC4557">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-2</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3EEE578">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协助交易所持续优化完善ISO 9001质量管理体系和ISO 27001信息安全管理体系，保障体系的有效运行和持续改进，结合交易所工作实际制定完善体系文件及管理手册。</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1672EE95">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B93BBB1">
        <w:tblPrEx>
          <w:tblCellMar>
            <w:top w:w="0" w:type="dxa"/>
            <w:left w:w="0" w:type="dxa"/>
            <w:bottom w:w="0" w:type="dxa"/>
            <w:right w:w="0" w:type="dxa"/>
          </w:tblCellMar>
        </w:tblPrEx>
        <w:trPr>
          <w:trHeight w:val="909"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9C955F7">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3</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1D4098B">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48EF28B">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-3</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C1E54D0">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协助交易所通过</w:t>
            </w:r>
            <w:r>
              <w:rPr>
                <w:rFonts w:hint="eastAsia" w:ascii="宋体" w:hAnsi="宋体" w:eastAsia="宋体" w:cs="宋体"/>
                <w:sz w:val="24"/>
                <w:szCs w:val="24"/>
                <w:highlight w:val="none"/>
                <w:lang w:val="en-US" w:eastAsia="zh-CN"/>
              </w:rPr>
              <w:t>1次</w:t>
            </w: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审核认证和</w:t>
            </w:r>
            <w:r>
              <w:rPr>
                <w:rFonts w:hint="eastAsia" w:ascii="宋体" w:hAnsi="宋体" w:eastAsia="宋体" w:cs="宋体"/>
                <w:sz w:val="24"/>
                <w:szCs w:val="24"/>
                <w:highlight w:val="none"/>
                <w:lang w:val="en-US" w:eastAsia="zh-CN"/>
              </w:rPr>
              <w:t>2次</w:t>
            </w:r>
            <w:r>
              <w:rPr>
                <w:rFonts w:hint="eastAsia" w:ascii="宋体" w:hAnsi="宋体" w:eastAsia="宋体" w:cs="宋体"/>
                <w:sz w:val="24"/>
                <w:szCs w:val="24"/>
                <w:highlight w:val="none"/>
              </w:rPr>
              <w:t>管理体系年度监督审核。</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37B8A47">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C3EA241">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ACAA618">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4</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F147ADB">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8924123">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-4</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739B434">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在服务期限内，须对管理体系建立、运行、审核的全生命周期中，发现的问题提出应对措施或解决方案。</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C92ADF3">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07CE4C7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F77B414">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8540F19">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6BC4ADF">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管理体系咨询支持服务</w:t>
            </w:r>
            <w:r>
              <w:rPr>
                <w:rFonts w:hint="eastAsia" w:ascii="宋体" w:hAnsi="宋体" w:eastAsia="宋体" w:cs="宋体"/>
                <w:color w:val="000000"/>
                <w:kern w:val="0"/>
                <w:sz w:val="24"/>
                <w:szCs w:val="24"/>
                <w:highlight w:val="none"/>
                <w:lang w:bidi="ar"/>
              </w:rPr>
              <w:t>-5</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4C9D5458">
            <w:pPr>
              <w:spacing w:line="360" w:lineRule="auto"/>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依据最新版本ISO 27001信息安全管理体系标准，结合交易所工作实际，形成基于ISO 27001信息安全管理体系要求的检查指标库。</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B0118FD">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3F12D38E">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3C408D5">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val="en-US" w:eastAsia="zh-CN"/>
              </w:rPr>
              <w:t>6</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7A3F600">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A662F74">
            <w:pPr>
              <w:widowControl/>
              <w:spacing w:line="360" w:lineRule="auto"/>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w:t>
            </w:r>
            <w:r>
              <w:rPr>
                <w:rFonts w:hint="eastAsia" w:ascii="宋体" w:hAnsi="宋体" w:eastAsia="宋体" w:cs="宋体"/>
                <w:sz w:val="24"/>
                <w:szCs w:val="24"/>
                <w:highlight w:val="none"/>
              </w:rPr>
              <w:t>服务</w:t>
            </w:r>
            <w:r>
              <w:rPr>
                <w:rFonts w:hint="eastAsia" w:ascii="宋体" w:hAnsi="宋体" w:eastAsia="宋体" w:cs="宋体"/>
                <w:color w:val="000000"/>
                <w:kern w:val="0"/>
                <w:sz w:val="24"/>
                <w:szCs w:val="24"/>
                <w:highlight w:val="none"/>
                <w:lang w:bidi="ar"/>
              </w:rPr>
              <w:t>-1</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0745E0F">
            <w:pPr>
              <w:spacing w:line="360" w:lineRule="auto"/>
              <w:jc w:val="both"/>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管理体系审核认证服务</w:t>
            </w:r>
            <w:r>
              <w:rPr>
                <w:rFonts w:hint="eastAsia" w:ascii="宋体" w:hAnsi="宋体" w:eastAsia="宋体" w:cs="宋体"/>
                <w:sz w:val="24"/>
                <w:szCs w:val="24"/>
                <w:highlight w:val="none"/>
                <w:lang w:eastAsia="zh-CN"/>
              </w:rPr>
              <w:t>须由符合资质的</w:t>
            </w:r>
            <w:r>
              <w:rPr>
                <w:rFonts w:hint="eastAsia" w:ascii="宋体" w:hAnsi="宋体" w:eastAsia="宋体" w:cs="宋体"/>
                <w:sz w:val="24"/>
                <w:szCs w:val="24"/>
                <w:highlight w:val="none"/>
              </w:rPr>
              <w:t>认证机构</w:t>
            </w:r>
            <w:r>
              <w:rPr>
                <w:rFonts w:hint="eastAsia" w:ascii="宋体" w:hAnsi="宋体" w:eastAsia="宋体" w:cs="宋体"/>
                <w:sz w:val="24"/>
                <w:szCs w:val="24"/>
                <w:highlight w:val="none"/>
                <w:lang w:eastAsia="zh-CN"/>
              </w:rPr>
              <w:t>开展，审核认证标准为最新版的</w:t>
            </w:r>
            <w:r>
              <w:rPr>
                <w:rFonts w:hint="eastAsia" w:ascii="宋体" w:hAnsi="宋体" w:eastAsia="宋体" w:cs="宋体"/>
                <w:sz w:val="24"/>
                <w:szCs w:val="24"/>
                <w:highlight w:val="none"/>
              </w:rPr>
              <w:t>ISO 9001质量管理体系</w:t>
            </w:r>
            <w:r>
              <w:rPr>
                <w:rFonts w:hint="eastAsia" w:ascii="宋体" w:hAnsi="宋体" w:eastAsia="宋体" w:cs="宋体"/>
                <w:sz w:val="24"/>
                <w:szCs w:val="24"/>
                <w:highlight w:val="none"/>
                <w:lang w:eastAsia="zh-CN"/>
              </w:rPr>
              <w:t>标准</w:t>
            </w:r>
            <w:r>
              <w:rPr>
                <w:rFonts w:hint="eastAsia" w:ascii="宋体" w:hAnsi="宋体" w:eastAsia="宋体" w:cs="宋体"/>
                <w:sz w:val="24"/>
                <w:szCs w:val="24"/>
                <w:highlight w:val="none"/>
              </w:rPr>
              <w:t>和ISO 27001信息安全管理体系</w:t>
            </w:r>
            <w:r>
              <w:rPr>
                <w:rFonts w:hint="eastAsia" w:ascii="宋体" w:hAnsi="宋体" w:eastAsia="宋体" w:cs="宋体"/>
                <w:sz w:val="24"/>
                <w:szCs w:val="24"/>
                <w:highlight w:val="none"/>
                <w:lang w:eastAsia="zh-CN"/>
              </w:rPr>
              <w:t>标准。审核通过后，该认证机构向招标人出具审核认证</w:t>
            </w:r>
            <w:r>
              <w:rPr>
                <w:rFonts w:hint="eastAsia" w:ascii="宋体" w:hAnsi="宋体" w:eastAsia="宋体" w:cs="宋体"/>
                <w:sz w:val="24"/>
                <w:szCs w:val="24"/>
                <w:highlight w:val="none"/>
              </w:rPr>
              <w:t>报告及认证证书</w:t>
            </w:r>
            <w:r>
              <w:rPr>
                <w:rFonts w:hint="eastAsia" w:ascii="宋体" w:hAnsi="宋体" w:eastAsia="宋体" w:cs="宋体"/>
                <w:sz w:val="24"/>
                <w:szCs w:val="24"/>
                <w:highlight w:val="none"/>
                <w:lang w:eastAsia="zh-CN"/>
              </w:rPr>
              <w:t>（证书有效期3年），以及在</w:t>
            </w:r>
            <w:r>
              <w:rPr>
                <w:rFonts w:hint="eastAsia" w:ascii="宋体" w:hAnsi="宋体" w:eastAsia="宋体" w:cs="宋体"/>
                <w:sz w:val="24"/>
                <w:szCs w:val="24"/>
                <w:highlight w:val="none"/>
              </w:rPr>
              <w:t>后续两年</w:t>
            </w:r>
            <w:r>
              <w:rPr>
                <w:rFonts w:hint="eastAsia" w:ascii="宋体" w:hAnsi="宋体" w:eastAsia="宋体" w:cs="宋体"/>
                <w:sz w:val="24"/>
                <w:szCs w:val="24"/>
                <w:highlight w:val="none"/>
                <w:lang w:eastAsia="zh-CN"/>
              </w:rPr>
              <w:t>的</w:t>
            </w:r>
            <w:r>
              <w:rPr>
                <w:rFonts w:hint="eastAsia" w:ascii="宋体" w:hAnsi="宋体" w:eastAsia="宋体" w:cs="宋体"/>
                <w:sz w:val="24"/>
                <w:szCs w:val="24"/>
                <w:highlight w:val="none"/>
              </w:rPr>
              <w:t>监督</w:t>
            </w:r>
            <w:r>
              <w:rPr>
                <w:rFonts w:hint="eastAsia" w:ascii="宋体" w:hAnsi="宋体" w:eastAsia="宋体" w:cs="宋体"/>
                <w:sz w:val="24"/>
                <w:szCs w:val="24"/>
                <w:highlight w:val="none"/>
                <w:lang w:eastAsia="zh-CN"/>
              </w:rPr>
              <w:t>通过后</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向招标人出具</w:t>
            </w:r>
            <w:r>
              <w:rPr>
                <w:rFonts w:hint="eastAsia" w:ascii="宋体" w:hAnsi="宋体" w:eastAsia="宋体" w:cs="宋体"/>
                <w:sz w:val="24"/>
                <w:szCs w:val="24"/>
                <w:highlight w:val="none"/>
              </w:rPr>
              <w:t>监督审核结论报告</w:t>
            </w:r>
            <w:r>
              <w:rPr>
                <w:rFonts w:hint="eastAsia" w:ascii="宋体" w:hAnsi="宋体" w:eastAsia="宋体" w:cs="宋体"/>
                <w:sz w:val="24"/>
                <w:szCs w:val="24"/>
                <w:highlight w:val="none"/>
                <w:lang w:eastAsia="zh-CN"/>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4186B794">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42102F99">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083B2C3">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rPr>
              <w:t>7</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4503C8C">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11670CD">
            <w:pPr>
              <w:widowControl/>
              <w:spacing w:line="360" w:lineRule="auto"/>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rPr>
              <w:t>管理体系</w:t>
            </w:r>
            <w:r>
              <w:rPr>
                <w:rFonts w:hint="eastAsia" w:ascii="宋体" w:hAnsi="宋体" w:eastAsia="宋体" w:cs="宋体"/>
                <w:sz w:val="24"/>
                <w:szCs w:val="24"/>
                <w:highlight w:val="none"/>
                <w:lang w:eastAsia="zh-CN"/>
              </w:rPr>
              <w:t>审核认证</w:t>
            </w:r>
            <w:r>
              <w:rPr>
                <w:rFonts w:hint="eastAsia" w:ascii="宋体" w:hAnsi="宋体" w:eastAsia="宋体" w:cs="宋体"/>
                <w:sz w:val="24"/>
                <w:szCs w:val="24"/>
                <w:highlight w:val="none"/>
              </w:rPr>
              <w:t>服务</w:t>
            </w:r>
            <w:r>
              <w:rPr>
                <w:rFonts w:hint="eastAsia" w:ascii="宋体" w:hAnsi="宋体" w:eastAsia="宋体" w:cs="宋体"/>
                <w:sz w:val="24"/>
                <w:szCs w:val="24"/>
                <w:highlight w:val="none"/>
                <w:lang w:val="en-US" w:eastAsia="zh-CN"/>
              </w:rPr>
              <w:t>-2</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2EEF54B4">
            <w:pPr>
              <w:spacing w:line="360" w:lineRule="auto"/>
              <w:jc w:val="left"/>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lang w:eastAsia="zh-CN"/>
              </w:rPr>
              <w:t>认证机构须为国内的认证机构</w:t>
            </w:r>
            <w:r>
              <w:rPr>
                <w:rFonts w:hint="eastAsia" w:ascii="宋体" w:hAnsi="宋体" w:eastAsia="宋体" w:cs="宋体"/>
                <w:sz w:val="24"/>
                <w:szCs w:val="24"/>
                <w:highlight w:val="none"/>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40D757E">
            <w:pPr>
              <w:widowControl/>
              <w:spacing w:line="360" w:lineRule="auto"/>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是，投标人须提供</w:t>
            </w:r>
          </w:p>
          <w:p w14:paraId="333CC244">
            <w:pPr>
              <w:widowControl/>
              <w:spacing w:line="360" w:lineRule="auto"/>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sz w:val="24"/>
                <w:szCs w:val="24"/>
                <w:highlight w:val="none"/>
                <w:lang w:eastAsia="zh-CN"/>
              </w:rPr>
              <w:t>承诺函，承诺所提供的认证机机构为国内认证机构，</w:t>
            </w:r>
            <w:r>
              <w:rPr>
                <w:rFonts w:hint="eastAsia" w:ascii="宋体" w:hAnsi="宋体" w:eastAsia="宋体" w:cs="宋体"/>
                <w:sz w:val="24"/>
                <w:szCs w:val="24"/>
                <w:highlight w:val="none"/>
              </w:rPr>
              <w:t>并加盖</w:t>
            </w:r>
            <w:r>
              <w:rPr>
                <w:rFonts w:hint="eastAsia" w:ascii="宋体" w:hAnsi="宋体" w:eastAsia="宋体" w:cs="宋体"/>
                <w:color w:val="000000"/>
                <w:sz w:val="24"/>
                <w:szCs w:val="24"/>
                <w:highlight w:val="none"/>
              </w:rPr>
              <w:t>投标人</w:t>
            </w:r>
            <w:r>
              <w:rPr>
                <w:rFonts w:hint="eastAsia" w:ascii="宋体" w:hAnsi="宋体" w:eastAsia="宋体" w:cs="宋体"/>
                <w:sz w:val="24"/>
                <w:szCs w:val="24"/>
                <w:highlight w:val="none"/>
              </w:rPr>
              <w:t>公章。</w:t>
            </w:r>
          </w:p>
        </w:tc>
      </w:tr>
      <w:tr w14:paraId="6A3CD32C">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383549BE">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交付要求</w:t>
            </w:r>
          </w:p>
        </w:tc>
      </w:tr>
      <w:tr w14:paraId="69C46ABC">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F68732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6AB66D9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2C32CEB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交付时间</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3CF4F372">
            <w:pPr>
              <w:pStyle w:val="15"/>
              <w:numPr>
                <w:ilvl w:val="0"/>
                <w:numId w:val="12"/>
              </w:numPr>
              <w:spacing w:line="360" w:lineRule="auto"/>
              <w:ind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ISO 9001质量管理体系和ISO 27001信息安全管理体系认证</w:t>
            </w:r>
            <w:r>
              <w:rPr>
                <w:rFonts w:hint="eastAsia" w:ascii="宋体" w:hAnsi="宋体" w:eastAsia="宋体" w:cs="宋体"/>
                <w:sz w:val="24"/>
                <w:szCs w:val="24"/>
                <w:highlight w:val="none"/>
                <w:lang w:eastAsia="zh-CN"/>
              </w:rPr>
              <w:t>通过。</w:t>
            </w:r>
          </w:p>
          <w:p w14:paraId="49CA733E">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在第一次年度监督审核期内完成监督审核。</w:t>
            </w:r>
          </w:p>
          <w:p w14:paraId="3F9CF227">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在第二次年度监督审核期内完成监督审核。</w:t>
            </w:r>
          </w:p>
          <w:p w14:paraId="48014ED2">
            <w:pPr>
              <w:pStyle w:val="15"/>
              <w:numPr>
                <w:ilvl w:val="0"/>
                <w:numId w:val="12"/>
              </w:numPr>
              <w:spacing w:line="360" w:lineRule="auto"/>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管理体系认证</w:t>
            </w:r>
            <w:r>
              <w:rPr>
                <w:rFonts w:hint="eastAsia" w:ascii="宋体" w:hAnsi="宋体" w:eastAsia="宋体" w:cs="宋体"/>
                <w:sz w:val="24"/>
                <w:szCs w:val="24"/>
                <w:highlight w:val="none"/>
              </w:rPr>
              <w:t>有效期（发证日期起3年）到期止</w:t>
            </w:r>
            <w:r>
              <w:rPr>
                <w:rFonts w:hint="eastAsia" w:ascii="宋体" w:hAnsi="宋体" w:eastAsia="宋体" w:cs="宋体"/>
                <w:sz w:val="24"/>
                <w:szCs w:val="24"/>
                <w:highlight w:val="none"/>
                <w:lang w:eastAsia="zh-CN"/>
              </w:rPr>
              <w:t>。</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D3AEB4B">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2C2B3DC1">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0FE8642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805506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3B37927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交付地点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82D0379">
            <w:pPr>
              <w:spacing w:line="360" w:lineRule="auto"/>
              <w:rPr>
                <w:rFonts w:hint="eastAsia" w:ascii="宋体" w:hAnsi="宋体" w:eastAsia="宋体" w:cs="宋体"/>
                <w:bCs w:val="0"/>
                <w:kern w:val="2"/>
                <w:sz w:val="24"/>
                <w:szCs w:val="24"/>
                <w:highlight w:val="none"/>
              </w:rPr>
            </w:pPr>
            <w:r>
              <w:rPr>
                <w:rFonts w:hint="eastAsia" w:ascii="宋体" w:hAnsi="宋体" w:eastAsia="宋体" w:cs="宋体"/>
                <w:sz w:val="24"/>
                <w:szCs w:val="24"/>
                <w:highlight w:val="none"/>
              </w:rPr>
              <w:t>交易所上海相关场所。</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53E46EAE">
            <w:pPr>
              <w:spacing w:line="360" w:lineRule="auto"/>
              <w:jc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否</w:t>
            </w:r>
          </w:p>
        </w:tc>
      </w:tr>
      <w:tr w14:paraId="78B94941">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7EF93A58">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网络安全审查预判</w:t>
            </w:r>
          </w:p>
        </w:tc>
      </w:tr>
      <w:tr w14:paraId="588FCA5A">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44F19D0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43BB6C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7823E20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网络安全审查承诺</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7BC75C67">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6EBF9D2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是，提供承诺书并加盖投标人公章</w:t>
            </w:r>
          </w:p>
        </w:tc>
      </w:tr>
      <w:tr w14:paraId="06532574">
        <w:tblPrEx>
          <w:tblCellMar>
            <w:top w:w="0" w:type="dxa"/>
            <w:left w:w="0" w:type="dxa"/>
            <w:bottom w:w="0" w:type="dxa"/>
            <w:right w:w="0" w:type="dxa"/>
          </w:tblCellMar>
        </w:tblPrEx>
        <w:trPr>
          <w:trHeight w:val="20" w:hRule="atLeast"/>
          <w:jc w:val="center"/>
        </w:trPr>
        <w:tc>
          <w:tcPr>
            <w:tcW w:w="10312" w:type="dxa"/>
            <w:gridSpan w:val="5"/>
            <w:tcBorders>
              <w:top w:val="single" w:color="000000" w:sz="4" w:space="0"/>
              <w:left w:val="single" w:color="000000" w:sz="4" w:space="0"/>
              <w:bottom w:val="single" w:color="000000" w:sz="4" w:space="0"/>
              <w:right w:val="single" w:color="000000" w:sz="4" w:space="0"/>
            </w:tcBorders>
            <w:noWrap w:val="0"/>
            <w:vAlign w:val="top"/>
          </w:tcPr>
          <w:p w14:paraId="3A12E31A">
            <w:pPr>
              <w:pStyle w:val="15"/>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履约验收方案</w:t>
            </w:r>
          </w:p>
        </w:tc>
      </w:tr>
      <w:tr w14:paraId="50F104D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2BD346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E523D81">
            <w:pPr>
              <w:widowControl/>
              <w:spacing w:line="560" w:lineRule="exact"/>
              <w:jc w:val="center"/>
              <w:textAlignment w:val="center"/>
              <w:rPr>
                <w:rFonts w:hint="eastAsia" w:ascii="宋体" w:hAnsi="宋体" w:eastAsia="宋体" w:cs="宋体"/>
                <w:bCs/>
                <w:color w:val="000000"/>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47147BEC">
            <w:pPr>
              <w:widowControl/>
              <w:spacing w:line="560" w:lineRule="exact"/>
              <w:jc w:val="center"/>
              <w:textAlignment w:val="center"/>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验收主体</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95451F9">
            <w:pPr>
              <w:pStyle w:val="15"/>
              <w:widowControl/>
              <w:numPr>
                <w:ilvl w:val="0"/>
                <w:numId w:val="13"/>
              </w:numPr>
              <w:spacing w:line="560" w:lineRule="exact"/>
              <w:ind w:firstLineChars="0"/>
              <w:textAlignment w:val="center"/>
              <w:rPr>
                <w:rFonts w:hint="eastAsia" w:ascii="宋体" w:hAnsi="宋体" w:eastAsia="宋体" w:cs="宋体"/>
                <w:color w:val="000000"/>
                <w:sz w:val="24"/>
                <w:szCs w:val="24"/>
                <w:highlight w:val="none"/>
                <w:u w:val="single"/>
                <w:lang w:bidi="ar"/>
              </w:rPr>
            </w:pPr>
            <w:r>
              <w:rPr>
                <w:rFonts w:hint="eastAsia" w:ascii="宋体" w:hAnsi="宋体" w:eastAsia="宋体" w:cs="宋体"/>
                <w:color w:val="000000"/>
                <w:sz w:val="24"/>
                <w:szCs w:val="24"/>
                <w:highlight w:val="none"/>
                <w:lang w:bidi="ar"/>
              </w:rPr>
              <w:t>采购人（需求部门）</w:t>
            </w:r>
            <w:r>
              <w:rPr>
                <w:rFonts w:hint="eastAsia" w:ascii="宋体" w:hAnsi="宋体" w:eastAsia="宋体" w:cs="宋体"/>
                <w:color w:val="000000"/>
                <w:sz w:val="24"/>
                <w:szCs w:val="24"/>
                <w:highlight w:val="none"/>
                <w:u w:val="single"/>
                <w:lang w:bidi="ar"/>
              </w:rPr>
              <w:t xml:space="preserve"> 技术运维保障部 </w:t>
            </w:r>
          </w:p>
          <w:p w14:paraId="1B25F35B">
            <w:pPr>
              <w:tabs>
                <w:tab w:val="left" w:pos="312"/>
              </w:tabs>
              <w:spacing w:line="360" w:lineRule="auto"/>
              <w:jc w:val="left"/>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2、拟邀请（</w:t>
            </w:r>
            <w:r>
              <w:rPr>
                <w:rFonts w:hint="eastAsia" w:ascii="宋体" w:hAnsi="宋体" w:eastAsia="宋体" w:cs="宋体"/>
                <w:color w:val="000000"/>
                <w:sz w:val="24"/>
                <w:szCs w:val="24"/>
                <w:highlight w:val="none"/>
                <w:lang w:eastAsia="zh-CN" w:bidi="ar"/>
              </w:rPr>
              <w:t>☑</w:t>
            </w:r>
            <w:r>
              <w:rPr>
                <w:rFonts w:hint="eastAsia" w:ascii="宋体" w:hAnsi="宋体" w:eastAsia="宋体" w:cs="宋体"/>
                <w:color w:val="000000"/>
                <w:sz w:val="24"/>
                <w:szCs w:val="24"/>
                <w:highlight w:val="none"/>
                <w:lang w:bidi="ar"/>
              </w:rPr>
              <w:t>实际使用人 □其他相关部门 □本项目其他供应商  □第三方专业机构  □专家 □服务对象）</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ADE1DC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92502B6">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27526C0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76E047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5D00F71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验收时间</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40D86AC">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1、管理体系认证：在招标人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27001信息安全管理体系认证，且投标人提交验收材料后的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20EBD4AB">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管理体系监督审核</w:t>
            </w: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，且投标人提交验收材料后的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6364A926">
            <w:pPr>
              <w:tabs>
                <w:tab w:val="left" w:pos="312"/>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napToGrid w:val="0"/>
                <w:kern w:val="0"/>
                <w:sz w:val="24"/>
                <w:szCs w:val="24"/>
                <w:highlight w:val="none"/>
                <w:lang w:eastAsia="zh-CN"/>
              </w:rPr>
              <w:t>第二次年度</w:t>
            </w:r>
            <w:r>
              <w:rPr>
                <w:rFonts w:hint="eastAsia" w:ascii="宋体" w:hAnsi="宋体" w:eastAsia="宋体" w:cs="宋体"/>
                <w:snapToGrid w:val="0"/>
                <w:kern w:val="0"/>
                <w:sz w:val="24"/>
                <w:szCs w:val="24"/>
                <w:highlight w:val="none"/>
              </w:rPr>
              <w:t>管理体系监督审核</w:t>
            </w: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第二次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，且投标人提交相关验收材料后的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p w14:paraId="6AB52675">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、管理体系认证有效期</w:t>
            </w:r>
            <w:r>
              <w:rPr>
                <w:rFonts w:hint="eastAsia" w:ascii="宋体" w:hAnsi="宋体" w:eastAsia="宋体" w:cs="宋体"/>
                <w:sz w:val="24"/>
                <w:szCs w:val="24"/>
                <w:highlight w:val="none"/>
                <w:lang w:eastAsia="zh-CN"/>
              </w:rPr>
              <w:t>止：在</w:t>
            </w:r>
            <w:r>
              <w:rPr>
                <w:rFonts w:hint="eastAsia" w:ascii="宋体" w:hAnsi="宋体" w:eastAsia="宋体" w:cs="宋体"/>
                <w:sz w:val="24"/>
                <w:szCs w:val="24"/>
                <w:highlight w:val="none"/>
              </w:rPr>
              <w:t>管理体系认证有效期</w:t>
            </w:r>
            <w:r>
              <w:rPr>
                <w:rFonts w:hint="eastAsia" w:ascii="宋体" w:hAnsi="宋体" w:eastAsia="宋体" w:cs="宋体"/>
                <w:sz w:val="24"/>
                <w:szCs w:val="24"/>
                <w:highlight w:val="none"/>
                <w:lang w:eastAsia="zh-CN"/>
              </w:rPr>
              <w:t>止，且</w:t>
            </w:r>
            <w:r>
              <w:rPr>
                <w:rFonts w:hint="eastAsia" w:ascii="宋体" w:hAnsi="宋体" w:eastAsia="宋体" w:cs="宋体"/>
                <w:sz w:val="24"/>
                <w:szCs w:val="24"/>
                <w:highlight w:val="none"/>
              </w:rPr>
              <w:t>投标人提交相关验收材料后的</w:t>
            </w:r>
            <w:r>
              <w:rPr>
                <w:rFonts w:hint="eastAsia" w:ascii="宋体" w:hAnsi="宋体" w:eastAsia="宋体" w:cs="宋体"/>
                <w:sz w:val="24"/>
                <w:szCs w:val="24"/>
                <w:highlight w:val="none"/>
                <w:u w:val="single"/>
              </w:rPr>
              <w:t xml:space="preserve"> 15 </w:t>
            </w:r>
            <w:r>
              <w:rPr>
                <w:rFonts w:hint="eastAsia" w:ascii="宋体" w:hAnsi="宋体" w:eastAsia="宋体" w:cs="宋体"/>
                <w:sz w:val="24"/>
                <w:szCs w:val="24"/>
                <w:highlight w:val="none"/>
              </w:rPr>
              <w:t>个工作日内开展验收。</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323274F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0B935C4">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55FCFF3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4E8F72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33A21D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验收地点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3FC9A3F">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sz w:val="24"/>
                <w:szCs w:val="24"/>
                <w:highlight w:val="none"/>
              </w:rPr>
              <w:t>上海市黄浦区中山南路699号。</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4B6F38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5F3D66D">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455AD3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77CF175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6A989A1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验收方式</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3B3616FB">
            <w:pPr>
              <w:spacing w:line="360" w:lineRule="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期</w:t>
            </w:r>
            <w:r>
              <w:rPr>
                <w:rFonts w:hint="eastAsia" w:ascii="宋体" w:hAnsi="宋体" w:eastAsia="宋体" w:cs="宋体"/>
                <w:sz w:val="24"/>
                <w:szCs w:val="24"/>
                <w:highlight w:val="none"/>
              </w:rPr>
              <w:t>验收</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21D0F5D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2D2A95C">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60D54B96">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2F59579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ABAFBE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验收方法</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00175362">
            <w:pPr>
              <w:numPr>
                <w:ilvl w:val="0"/>
                <w:numId w:val="0"/>
              </w:num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查验验收</w:t>
            </w:r>
            <w:r>
              <w:rPr>
                <w:rFonts w:hint="eastAsia" w:ascii="宋体" w:hAnsi="宋体" w:eastAsia="宋体" w:cs="宋体"/>
                <w:sz w:val="24"/>
                <w:szCs w:val="24"/>
                <w:highlight w:val="none"/>
                <w:lang w:eastAsia="zh-CN"/>
              </w:rPr>
              <w:t>材料，验收材料须包含服务报</w:t>
            </w:r>
            <w:r>
              <w:rPr>
                <w:rFonts w:hint="eastAsia" w:ascii="宋体" w:hAnsi="宋体" w:eastAsia="宋体" w:cs="宋体"/>
                <w:color w:val="auto"/>
                <w:sz w:val="24"/>
                <w:szCs w:val="24"/>
                <w:highlight w:val="none"/>
                <w:lang w:eastAsia="zh-CN"/>
              </w:rPr>
              <w:t>告和</w:t>
            </w: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p>
          <w:p w14:paraId="499325BC">
            <w:pPr>
              <w:numPr>
                <w:ilvl w:val="0"/>
                <w:numId w:val="14"/>
              </w:num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服务报告：查验报告内容，并</w:t>
            </w:r>
            <w:r>
              <w:rPr>
                <w:rFonts w:hint="eastAsia" w:ascii="宋体" w:hAnsi="宋体" w:eastAsia="宋体" w:cs="宋体"/>
                <w:color w:val="auto"/>
                <w:sz w:val="24"/>
                <w:szCs w:val="24"/>
                <w:highlight w:val="none"/>
              </w:rPr>
              <w:t>比对服务要求中的应完成项是否完成。</w:t>
            </w:r>
          </w:p>
          <w:p w14:paraId="3F3E18B5">
            <w:pPr>
              <w:numPr>
                <w:ilvl w:val="0"/>
                <w:numId w:val="14"/>
              </w:numPr>
              <w:tabs>
                <w:tab w:val="left" w:pos="312"/>
              </w:tabs>
              <w:spacing w:line="360" w:lineRule="auto"/>
              <w:rPr>
                <w:rFonts w:hint="eastAsia" w:ascii="宋体" w:hAnsi="宋体" w:eastAsia="宋体" w:cs="宋体"/>
                <w:color w:val="0000FF"/>
                <w:sz w:val="24"/>
                <w:szCs w:val="24"/>
                <w:highlight w:val="none"/>
              </w:rPr>
            </w:pP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查验</w:t>
            </w:r>
            <w:r>
              <w:rPr>
                <w:rFonts w:hint="eastAsia" w:ascii="宋体" w:hAnsi="宋体" w:eastAsia="宋体" w:cs="宋体"/>
                <w:color w:val="auto"/>
                <w:sz w:val="24"/>
                <w:szCs w:val="24"/>
                <w:highlight w:val="none"/>
                <w:lang w:eastAsia="zh-CN"/>
              </w:rPr>
              <w:t>是否</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eastAsia="zh-CN"/>
              </w:rPr>
              <w:t>了</w:t>
            </w:r>
            <w:r>
              <w:rPr>
                <w:rFonts w:hint="eastAsia" w:ascii="宋体" w:hAnsi="宋体" w:eastAsia="宋体" w:cs="宋体"/>
                <w:color w:val="auto"/>
                <w:sz w:val="24"/>
                <w:szCs w:val="24"/>
                <w:highlight w:val="none"/>
              </w:rPr>
              <w:t>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0655BC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24955F3">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39500D9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3CE71F5">
            <w:pPr>
              <w:widowControl/>
              <w:spacing w:line="560" w:lineRule="exact"/>
              <w:jc w:val="center"/>
              <w:textAlignment w:val="center"/>
              <w:rPr>
                <w:rFonts w:hint="eastAsia" w:ascii="宋体" w:hAnsi="宋体" w:eastAsia="宋体" w:cs="宋体"/>
                <w:kern w:val="0"/>
                <w:sz w:val="24"/>
                <w:szCs w:val="24"/>
                <w:highlight w:val="none"/>
                <w:lang w:bidi="ar"/>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0D4F807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lang w:bidi="ar"/>
              </w:rPr>
              <w:t>验收内容</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6F0246A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服务报告：</w:t>
            </w:r>
            <w:r>
              <w:rPr>
                <w:rFonts w:hint="eastAsia" w:ascii="宋体" w:hAnsi="宋体" w:eastAsia="宋体" w:cs="宋体"/>
                <w:color w:val="auto"/>
                <w:sz w:val="24"/>
                <w:szCs w:val="24"/>
                <w:highlight w:val="none"/>
              </w:rPr>
              <w:t>报告内容须包含服务要求中“管理体系咨询支持服务-1”至“管理体系咨询支持服务-5”的内容；</w:t>
            </w:r>
          </w:p>
          <w:p w14:paraId="01226FB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全国认证认可信息公共服务平台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"http://cx.cnca.cn/CertECloud/index/index/page" </w:instrText>
            </w:r>
            <w:r>
              <w:rPr>
                <w:rFonts w:hint="eastAsia" w:ascii="宋体" w:hAnsi="宋体" w:eastAsia="宋体" w:cs="宋体"/>
                <w:color w:val="auto"/>
                <w:sz w:val="24"/>
                <w:szCs w:val="24"/>
                <w:highlight w:val="none"/>
              </w:rPr>
              <w:fldChar w:fldCharType="separate"/>
            </w:r>
            <w:r>
              <w:rPr>
                <w:rStyle w:val="10"/>
                <w:rFonts w:hint="eastAsia" w:ascii="宋体" w:hAnsi="宋体" w:eastAsia="宋体" w:cs="宋体"/>
                <w:color w:val="auto"/>
                <w:sz w:val="24"/>
                <w:szCs w:val="24"/>
                <w:highlight w:val="none"/>
              </w:rPr>
              <w:t>http://cx.cnca.cn/CertECloud/index/index/page</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）查询管理体系认证结果的截图。</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05FFA94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B65C07E">
        <w:tblPrEx>
          <w:tblCellMar>
            <w:top w:w="0" w:type="dxa"/>
            <w:left w:w="0" w:type="dxa"/>
            <w:bottom w:w="0" w:type="dxa"/>
            <w:right w:w="0" w:type="dxa"/>
          </w:tblCellMar>
        </w:tblPrEx>
        <w:trPr>
          <w:trHeight w:val="20" w:hRule="atLeast"/>
          <w:jc w:val="center"/>
        </w:trPr>
        <w:tc>
          <w:tcPr>
            <w:tcW w:w="817" w:type="dxa"/>
            <w:tcBorders>
              <w:top w:val="single" w:color="000000" w:sz="4" w:space="0"/>
              <w:left w:val="single" w:color="000000" w:sz="4" w:space="0"/>
              <w:bottom w:val="single" w:color="000000" w:sz="4" w:space="0"/>
              <w:right w:val="single" w:color="000000" w:sz="4" w:space="0"/>
            </w:tcBorders>
            <w:noWrap w:val="0"/>
            <w:vAlign w:val="center"/>
          </w:tcPr>
          <w:p w14:paraId="1AF66B4C">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71BE60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color w:val="auto"/>
                <w:kern w:val="0"/>
                <w:sz w:val="24"/>
                <w:szCs w:val="24"/>
                <w:highlight w:val="none"/>
              </w:rPr>
              <w:t>★</w:t>
            </w:r>
          </w:p>
        </w:tc>
        <w:tc>
          <w:tcPr>
            <w:tcW w:w="1660" w:type="dxa"/>
            <w:tcBorders>
              <w:top w:val="single" w:color="000000" w:sz="4" w:space="0"/>
              <w:left w:val="single" w:color="000000" w:sz="4" w:space="0"/>
              <w:bottom w:val="single" w:color="000000" w:sz="4" w:space="0"/>
              <w:right w:val="single" w:color="000000" w:sz="4" w:space="0"/>
            </w:tcBorders>
            <w:noWrap w:val="0"/>
            <w:vAlign w:val="center"/>
          </w:tcPr>
          <w:p w14:paraId="1F33F63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验收标准</w:t>
            </w:r>
          </w:p>
        </w:tc>
        <w:tc>
          <w:tcPr>
            <w:tcW w:w="4851" w:type="dxa"/>
            <w:tcBorders>
              <w:top w:val="single" w:color="000000" w:sz="4" w:space="0"/>
              <w:left w:val="single" w:color="000000" w:sz="4" w:space="0"/>
              <w:bottom w:val="single" w:color="000000" w:sz="4" w:space="0"/>
              <w:right w:val="single" w:color="000000" w:sz="4" w:space="0"/>
            </w:tcBorders>
            <w:noWrap w:val="0"/>
            <w:vAlign w:val="center"/>
          </w:tcPr>
          <w:p w14:paraId="113F2C3E">
            <w:pPr>
              <w:tabs>
                <w:tab w:val="left" w:pos="312"/>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服务报告：核对服务报告中所述内容</w:t>
            </w:r>
            <w:r>
              <w:rPr>
                <w:rFonts w:hint="eastAsia" w:ascii="宋体" w:hAnsi="宋体" w:eastAsia="宋体" w:cs="宋体"/>
                <w:color w:val="auto"/>
                <w:sz w:val="24"/>
                <w:szCs w:val="24"/>
                <w:highlight w:val="none"/>
              </w:rPr>
              <w:t>符合服务要求中“管理体系咨询支持服务-1”至“管理体系咨询支持服务-5”的服务要求。</w:t>
            </w:r>
          </w:p>
          <w:p w14:paraId="14754DD7">
            <w:pPr>
              <w:tabs>
                <w:tab w:val="left" w:pos="312"/>
              </w:tabs>
              <w:snapToGrid w:val="0"/>
              <w:spacing w:line="36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2、管理体系认证</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年度监督审核的证明</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全国认证认可信息公共服务平台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"http://cx.cnca.cn/CertECloud/index/index/page" </w:instrText>
            </w:r>
            <w:r>
              <w:rPr>
                <w:rFonts w:hint="eastAsia" w:ascii="宋体" w:hAnsi="宋体" w:eastAsia="宋体" w:cs="宋体"/>
                <w:color w:val="auto"/>
                <w:sz w:val="24"/>
                <w:szCs w:val="24"/>
                <w:highlight w:val="none"/>
              </w:rPr>
              <w:fldChar w:fldCharType="separate"/>
            </w:r>
            <w:r>
              <w:rPr>
                <w:rStyle w:val="10"/>
                <w:rFonts w:hint="eastAsia" w:ascii="宋体" w:hAnsi="宋体" w:eastAsia="宋体" w:cs="宋体"/>
                <w:color w:val="auto"/>
                <w:sz w:val="24"/>
                <w:szCs w:val="24"/>
                <w:highlight w:val="none"/>
              </w:rPr>
              <w:t>http://cx.cnca.cn/CertECloud/index/index/page</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eastAsia="zh-CN"/>
              </w:rPr>
              <w:t>）查询管理体系认证结果的截图。截图中的管理体系认证证书状态为“有效”。</w:t>
            </w:r>
          </w:p>
        </w:tc>
        <w:tc>
          <w:tcPr>
            <w:tcW w:w="1979" w:type="dxa"/>
            <w:tcBorders>
              <w:top w:val="single" w:color="000000" w:sz="4" w:space="0"/>
              <w:left w:val="single" w:color="000000" w:sz="4" w:space="0"/>
              <w:bottom w:val="single" w:color="000000" w:sz="4" w:space="0"/>
              <w:right w:val="single" w:color="000000" w:sz="4" w:space="0"/>
            </w:tcBorders>
            <w:noWrap w:val="0"/>
            <w:vAlign w:val="center"/>
          </w:tcPr>
          <w:p w14:paraId="73E55B2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bl>
    <w:p w14:paraId="246F0198">
      <w:pPr>
        <w:spacing w:line="360" w:lineRule="auto"/>
        <w:rPr>
          <w:rFonts w:hint="eastAsia" w:ascii="宋体" w:hAnsi="宋体" w:eastAsia="宋体" w:cs="宋体"/>
          <w:iCs/>
          <w:sz w:val="24"/>
          <w:szCs w:val="24"/>
          <w:highlight w:val="none"/>
        </w:rPr>
      </w:pPr>
    </w:p>
    <w:p w14:paraId="65FB2636">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8"/>
        <w:tblpPr w:leftFromText="180" w:rightFromText="180" w:vertAnchor="text" w:tblpX="-279" w:tblpY="1"/>
        <w:tblOverlap w:val="never"/>
        <w:tblW w:w="10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16"/>
        <w:gridCol w:w="4340"/>
        <w:gridCol w:w="1516"/>
        <w:gridCol w:w="1213"/>
        <w:gridCol w:w="893"/>
      </w:tblGrid>
      <w:tr w14:paraId="44BF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94" w:type="dxa"/>
            <w:noWrap w:val="0"/>
            <w:vAlign w:val="center"/>
          </w:tcPr>
          <w:p w14:paraId="610B9008">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516" w:type="dxa"/>
            <w:noWrap w:val="0"/>
            <w:vAlign w:val="center"/>
          </w:tcPr>
          <w:p w14:paraId="72D3A96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w:t>
            </w:r>
          </w:p>
          <w:p w14:paraId="22A8D9F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（进度）</w:t>
            </w:r>
          </w:p>
        </w:tc>
        <w:tc>
          <w:tcPr>
            <w:tcW w:w="4340" w:type="dxa"/>
            <w:noWrap w:val="0"/>
            <w:vAlign w:val="center"/>
          </w:tcPr>
          <w:p w14:paraId="04E8C79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516" w:type="dxa"/>
            <w:noWrap w:val="0"/>
            <w:vAlign w:val="center"/>
          </w:tcPr>
          <w:p w14:paraId="300399C9">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213" w:type="dxa"/>
            <w:noWrap w:val="0"/>
            <w:vAlign w:val="top"/>
          </w:tcPr>
          <w:p w14:paraId="6CC20FE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893" w:type="dxa"/>
            <w:noWrap w:val="0"/>
            <w:vAlign w:val="center"/>
          </w:tcPr>
          <w:p w14:paraId="64F4C93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50CF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1733482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16" w:type="dxa"/>
            <w:noWrap w:val="0"/>
            <w:vAlign w:val="center"/>
          </w:tcPr>
          <w:p w14:paraId="2380DEC3">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第一笔款</w:t>
            </w:r>
          </w:p>
        </w:tc>
        <w:tc>
          <w:tcPr>
            <w:tcW w:w="4340" w:type="dxa"/>
            <w:noWrap w:val="0"/>
            <w:vAlign w:val="center"/>
          </w:tcPr>
          <w:p w14:paraId="2FAEFF00">
            <w:pPr>
              <w:widowControl/>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27001信息安全管理体系认证，</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33EDE3DC">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0%</w:t>
            </w:r>
          </w:p>
        </w:tc>
        <w:tc>
          <w:tcPr>
            <w:tcW w:w="1213" w:type="dxa"/>
            <w:noWrap w:val="0"/>
            <w:vAlign w:val="center"/>
          </w:tcPr>
          <w:p w14:paraId="2D5C1381">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7AADFEB7">
            <w:pPr>
              <w:rPr>
                <w:rFonts w:hint="eastAsia" w:ascii="宋体" w:hAnsi="宋体" w:eastAsia="宋体" w:cs="宋体"/>
                <w:sz w:val="24"/>
                <w:szCs w:val="24"/>
                <w:highlight w:val="none"/>
              </w:rPr>
            </w:pPr>
          </w:p>
        </w:tc>
      </w:tr>
      <w:tr w14:paraId="30F2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4753F5A5">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516" w:type="dxa"/>
            <w:noWrap w:val="0"/>
            <w:vAlign w:val="center"/>
          </w:tcPr>
          <w:p w14:paraId="4A5B90F9">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第二笔款</w:t>
            </w:r>
          </w:p>
        </w:tc>
        <w:tc>
          <w:tcPr>
            <w:tcW w:w="4340" w:type="dxa"/>
            <w:noWrap w:val="0"/>
            <w:vAlign w:val="center"/>
          </w:tcPr>
          <w:p w14:paraId="103D46E0">
            <w:pPr>
              <w:widowControl/>
              <w:spacing w:line="360" w:lineRule="auto"/>
              <w:jc w:val="left"/>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第一次</w:t>
            </w:r>
            <w:r>
              <w:rPr>
                <w:rFonts w:hint="eastAsia" w:ascii="宋体" w:hAnsi="宋体" w:eastAsia="宋体" w:cs="宋体"/>
                <w:snapToGrid w:val="0"/>
                <w:kern w:val="0"/>
                <w:sz w:val="24"/>
                <w:szCs w:val="24"/>
                <w:highlight w:val="none"/>
              </w:rPr>
              <w:t>监督审核</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5716456E">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30%</w:t>
            </w:r>
          </w:p>
        </w:tc>
        <w:tc>
          <w:tcPr>
            <w:tcW w:w="1213" w:type="dxa"/>
            <w:noWrap w:val="0"/>
            <w:vAlign w:val="center"/>
          </w:tcPr>
          <w:p w14:paraId="56A1A94D">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2E79086E">
            <w:pPr>
              <w:rPr>
                <w:rFonts w:hint="eastAsia" w:ascii="宋体" w:hAnsi="宋体" w:eastAsia="宋体" w:cs="宋体"/>
                <w:sz w:val="24"/>
                <w:szCs w:val="24"/>
                <w:highlight w:val="none"/>
              </w:rPr>
            </w:pPr>
          </w:p>
        </w:tc>
      </w:tr>
      <w:tr w14:paraId="5F56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24ECE07C">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1516" w:type="dxa"/>
            <w:noWrap w:val="0"/>
            <w:vAlign w:val="center"/>
          </w:tcPr>
          <w:p w14:paraId="10E82BBB">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第三笔款</w:t>
            </w:r>
          </w:p>
        </w:tc>
        <w:tc>
          <w:tcPr>
            <w:tcW w:w="4340" w:type="dxa"/>
            <w:noWrap w:val="0"/>
            <w:vAlign w:val="center"/>
          </w:tcPr>
          <w:p w14:paraId="05DE9B6D">
            <w:pPr>
              <w:widowControl/>
              <w:spacing w:line="360" w:lineRule="auto"/>
              <w:jc w:val="left"/>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在招标人</w:t>
            </w:r>
            <w:r>
              <w:rPr>
                <w:rFonts w:hint="eastAsia" w:ascii="宋体" w:hAnsi="宋体" w:eastAsia="宋体" w:cs="宋体"/>
                <w:sz w:val="24"/>
                <w:szCs w:val="24"/>
                <w:highlight w:val="none"/>
                <w:lang w:eastAsia="zh-CN"/>
              </w:rPr>
              <w:t>通过</w:t>
            </w:r>
            <w:r>
              <w:rPr>
                <w:rFonts w:hint="eastAsia" w:ascii="宋体" w:hAnsi="宋体" w:eastAsia="宋体" w:cs="宋体"/>
                <w:sz w:val="24"/>
                <w:szCs w:val="24"/>
                <w:highlight w:val="none"/>
              </w:rPr>
              <w:t>了ISO 9001质量管理体系和ISO 27001信息安全管理体系</w:t>
            </w:r>
            <w:r>
              <w:rPr>
                <w:rFonts w:hint="eastAsia" w:ascii="宋体" w:hAnsi="宋体" w:eastAsia="宋体" w:cs="宋体"/>
                <w:snapToGrid w:val="0"/>
                <w:kern w:val="0"/>
                <w:sz w:val="24"/>
                <w:szCs w:val="24"/>
                <w:highlight w:val="none"/>
                <w:lang w:eastAsia="zh-CN"/>
              </w:rPr>
              <w:t>第二次</w:t>
            </w:r>
            <w:r>
              <w:rPr>
                <w:rFonts w:hint="eastAsia" w:ascii="宋体" w:hAnsi="宋体" w:eastAsia="宋体" w:cs="宋体"/>
                <w:snapToGrid w:val="0"/>
                <w:kern w:val="0"/>
                <w:sz w:val="24"/>
                <w:szCs w:val="24"/>
                <w:highlight w:val="none"/>
              </w:rPr>
              <w:t>监督审核</w:t>
            </w:r>
            <w:r>
              <w:rPr>
                <w:rFonts w:hint="eastAsia" w:ascii="宋体" w:hAnsi="宋体" w:eastAsia="宋体" w:cs="宋体"/>
                <w:snapToGrid w:val="0"/>
                <w:kern w:val="0"/>
                <w:sz w:val="24"/>
                <w:szCs w:val="24"/>
                <w:highlight w:val="none"/>
                <w:lang w:eastAsia="zh-CN"/>
              </w:rPr>
              <w:t>，</w:t>
            </w:r>
            <w:r>
              <w:rPr>
                <w:rFonts w:hint="eastAsia" w:ascii="宋体" w:hAnsi="宋体" w:eastAsia="宋体" w:cs="宋体"/>
                <w:sz w:val="24"/>
                <w:szCs w:val="24"/>
                <w:highlight w:val="none"/>
                <w:lang w:eastAsia="zh-CN"/>
              </w:rPr>
              <w:t>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4A7D49E1">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30%</w:t>
            </w:r>
          </w:p>
        </w:tc>
        <w:tc>
          <w:tcPr>
            <w:tcW w:w="1213" w:type="dxa"/>
            <w:noWrap w:val="0"/>
            <w:vAlign w:val="center"/>
          </w:tcPr>
          <w:p w14:paraId="67D77DE6">
            <w:pPr>
              <w:widowControl/>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3B686FA5">
            <w:pPr>
              <w:rPr>
                <w:rFonts w:hint="eastAsia" w:ascii="宋体" w:hAnsi="宋体" w:eastAsia="宋体" w:cs="宋体"/>
                <w:sz w:val="24"/>
                <w:szCs w:val="24"/>
                <w:highlight w:val="none"/>
              </w:rPr>
            </w:pPr>
          </w:p>
        </w:tc>
      </w:tr>
      <w:tr w14:paraId="06EB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94" w:type="dxa"/>
            <w:noWrap w:val="0"/>
            <w:vAlign w:val="top"/>
          </w:tcPr>
          <w:p w14:paraId="131CD7C5">
            <w:pPr>
              <w:widowControl/>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w:t>
            </w:r>
          </w:p>
        </w:tc>
        <w:tc>
          <w:tcPr>
            <w:tcW w:w="1516" w:type="dxa"/>
            <w:noWrap w:val="0"/>
            <w:vAlign w:val="center"/>
          </w:tcPr>
          <w:p w14:paraId="5E6E279E">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第</w:t>
            </w:r>
            <w:r>
              <w:rPr>
                <w:rFonts w:hint="eastAsia" w:ascii="宋体" w:hAnsi="宋体" w:eastAsia="宋体" w:cs="宋体"/>
                <w:color w:val="000000"/>
                <w:kern w:val="0"/>
                <w:sz w:val="24"/>
                <w:szCs w:val="24"/>
                <w:highlight w:val="none"/>
                <w:lang w:eastAsia="zh-CN" w:bidi="ar"/>
              </w:rPr>
              <w:t>四</w:t>
            </w:r>
            <w:r>
              <w:rPr>
                <w:rFonts w:hint="eastAsia" w:ascii="宋体" w:hAnsi="宋体" w:eastAsia="宋体" w:cs="宋体"/>
                <w:color w:val="000000"/>
                <w:kern w:val="0"/>
                <w:sz w:val="24"/>
                <w:szCs w:val="24"/>
                <w:highlight w:val="none"/>
                <w:lang w:bidi="ar"/>
              </w:rPr>
              <w:t>笔款</w:t>
            </w:r>
          </w:p>
        </w:tc>
        <w:tc>
          <w:tcPr>
            <w:tcW w:w="4340" w:type="dxa"/>
            <w:noWrap w:val="0"/>
            <w:vAlign w:val="center"/>
          </w:tcPr>
          <w:p w14:paraId="4DBB12C9">
            <w:pPr>
              <w:widowControl/>
              <w:spacing w:line="360" w:lineRule="auto"/>
              <w:jc w:val="left"/>
              <w:textAlignment w:val="center"/>
              <w:rPr>
                <w:rFonts w:hint="eastAsia" w:ascii="宋体" w:hAnsi="宋体" w:eastAsia="宋体" w:cs="宋体"/>
                <w:color w:val="000000"/>
                <w:kern w:val="0"/>
                <w:sz w:val="24"/>
                <w:szCs w:val="24"/>
                <w:highlight w:val="none"/>
                <w:lang w:eastAsia="zh-CN" w:bidi="ar"/>
              </w:rPr>
            </w:pPr>
            <w:r>
              <w:rPr>
                <w:rFonts w:hint="eastAsia" w:ascii="宋体" w:hAnsi="宋体" w:eastAsia="宋体" w:cs="宋体"/>
                <w:color w:val="000000"/>
                <w:kern w:val="0"/>
                <w:sz w:val="24"/>
                <w:szCs w:val="24"/>
                <w:highlight w:val="none"/>
                <w:lang w:eastAsia="zh-CN" w:bidi="ar"/>
              </w:rPr>
              <w:t>在管理体系认证</w:t>
            </w:r>
            <w:r>
              <w:rPr>
                <w:rFonts w:hint="eastAsia" w:ascii="宋体" w:hAnsi="宋体" w:eastAsia="宋体" w:cs="宋体"/>
                <w:sz w:val="24"/>
                <w:szCs w:val="24"/>
                <w:highlight w:val="none"/>
              </w:rPr>
              <w:t>有效期</w:t>
            </w:r>
            <w:r>
              <w:rPr>
                <w:rFonts w:hint="eastAsia" w:ascii="宋体" w:hAnsi="宋体" w:eastAsia="宋体" w:cs="宋体"/>
                <w:sz w:val="24"/>
                <w:szCs w:val="24"/>
                <w:highlight w:val="none"/>
                <w:lang w:eastAsia="zh-CN"/>
              </w:rPr>
              <w:t>止，且</w:t>
            </w:r>
            <w:r>
              <w:rPr>
                <w:rFonts w:hint="eastAsia" w:ascii="宋体" w:hAnsi="宋体" w:eastAsia="宋体" w:cs="宋体"/>
                <w:sz w:val="24"/>
                <w:szCs w:val="24"/>
                <w:highlight w:val="none"/>
              </w:rPr>
              <w:t>投标人提交验收材料</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经招标人验收通过后。</w:t>
            </w:r>
          </w:p>
        </w:tc>
        <w:tc>
          <w:tcPr>
            <w:tcW w:w="1516" w:type="dxa"/>
            <w:noWrap w:val="0"/>
            <w:vAlign w:val="center"/>
          </w:tcPr>
          <w:p w14:paraId="5980DDB9">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bidi="ar"/>
              </w:rPr>
              <w:t>0%</w:t>
            </w:r>
          </w:p>
        </w:tc>
        <w:tc>
          <w:tcPr>
            <w:tcW w:w="1213" w:type="dxa"/>
            <w:noWrap w:val="0"/>
            <w:vAlign w:val="center"/>
          </w:tcPr>
          <w:p w14:paraId="7A1C1DD2">
            <w:pPr>
              <w:widowControl/>
              <w:spacing w:line="360" w:lineRule="auto"/>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转账</w:t>
            </w:r>
          </w:p>
        </w:tc>
        <w:tc>
          <w:tcPr>
            <w:tcW w:w="893" w:type="dxa"/>
            <w:noWrap w:val="0"/>
            <w:vAlign w:val="top"/>
          </w:tcPr>
          <w:p w14:paraId="543D2406">
            <w:pPr>
              <w:rPr>
                <w:rFonts w:hint="eastAsia" w:ascii="宋体" w:hAnsi="宋体" w:eastAsia="宋体" w:cs="宋体"/>
                <w:sz w:val="24"/>
                <w:szCs w:val="24"/>
                <w:highlight w:val="none"/>
              </w:rPr>
            </w:pPr>
          </w:p>
        </w:tc>
      </w:tr>
    </w:tbl>
    <w:p w14:paraId="3D422D74">
      <w:pPr>
        <w:rPr>
          <w:rFonts w:hint="eastAsia" w:ascii="宋体" w:hAnsi="宋体" w:eastAsia="宋体" w:cs="宋体"/>
          <w:color w:val="000000"/>
          <w:sz w:val="24"/>
          <w:szCs w:val="24"/>
          <w:highlight w:val="none"/>
        </w:rPr>
      </w:pPr>
    </w:p>
    <w:p w14:paraId="4FAD6DF0">
      <w:pPr>
        <w:rPr>
          <w:rFonts w:hint="eastAsia" w:ascii="宋体" w:hAnsi="宋体" w:eastAsia="宋体" w:cs="宋体"/>
          <w:color w:val="000000"/>
          <w:sz w:val="24"/>
          <w:szCs w:val="24"/>
          <w:highlight w:val="none"/>
        </w:rPr>
      </w:pPr>
    </w:p>
    <w:p w14:paraId="6B484052">
      <w:pPr>
        <w:rPr>
          <w:rFonts w:hint="eastAsia" w:ascii="宋体" w:hAnsi="宋体" w:eastAsia="宋体" w:cs="宋体"/>
          <w:color w:val="000000"/>
          <w:sz w:val="24"/>
          <w:szCs w:val="24"/>
          <w:highlight w:val="none"/>
        </w:rPr>
      </w:pPr>
    </w:p>
    <w:p w14:paraId="096E947C">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77E55498">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14D46F57">
      <w:pPr>
        <w:jc w:val="center"/>
        <w:rPr>
          <w:rFonts w:ascii="宋体" w:hAnsi="宋体"/>
          <w:b/>
          <w:sz w:val="28"/>
          <w:szCs w:val="28"/>
          <w:highlight w:val="none"/>
        </w:rPr>
      </w:pPr>
      <w:r>
        <w:rPr>
          <w:rFonts w:hint="eastAsia" w:ascii="宋体" w:hAnsi="宋体"/>
          <w:b/>
          <w:sz w:val="28"/>
          <w:szCs w:val="28"/>
          <w:highlight w:val="none"/>
        </w:rPr>
        <w:t>项目评分标准</w:t>
      </w:r>
    </w:p>
    <w:p w14:paraId="0E10520A">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095052CE">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本项目采用“综合评分法”，进行评标。</w:t>
      </w:r>
    </w:p>
    <w:p w14:paraId="22592EDB">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0B3EF457">
      <w:pPr>
        <w:spacing w:line="300" w:lineRule="auto"/>
        <w:rPr>
          <w:rFonts w:ascii="宋体" w:hAnsi="宋体"/>
          <w:spacing w:val="10"/>
          <w:sz w:val="24"/>
          <w:szCs w:val="20"/>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hint="eastAsia" w:ascii="宋体" w:hAnsi="宋体"/>
          <w:spacing w:val="10"/>
          <w:sz w:val="24"/>
          <w:szCs w:val="20"/>
          <w:highlight w:val="none"/>
        </w:rPr>
        <w:t>总分</w:t>
      </w:r>
      <w:r>
        <w:rPr>
          <w:rFonts w:ascii="宋体" w:hAnsi="宋体"/>
          <w:spacing w:val="10"/>
          <w:sz w:val="24"/>
          <w:szCs w:val="20"/>
          <w:highlight w:val="none"/>
        </w:rPr>
        <w:t>最高</w:t>
      </w:r>
      <w:r>
        <w:rPr>
          <w:rFonts w:hint="eastAsia" w:ascii="宋体" w:hAnsi="宋体"/>
          <w:spacing w:val="10"/>
          <w:sz w:val="24"/>
          <w:szCs w:val="20"/>
          <w:highlight w:val="none"/>
        </w:rPr>
        <w:t>的投标人为第一</w:t>
      </w:r>
      <w:r>
        <w:rPr>
          <w:rFonts w:ascii="宋体" w:hAnsi="宋体"/>
          <w:spacing w:val="10"/>
          <w:sz w:val="24"/>
          <w:szCs w:val="20"/>
          <w:highlight w:val="none"/>
        </w:rPr>
        <w:t>中标候选人</w:t>
      </w:r>
      <w:r>
        <w:rPr>
          <w:rFonts w:hint="eastAsia" w:ascii="宋体" w:hAnsi="宋体"/>
          <w:spacing w:val="10"/>
          <w:sz w:val="24"/>
          <w:szCs w:val="20"/>
          <w:highlight w:val="none"/>
        </w:rPr>
        <w:t>；出现得分并列时，以投标价格较低的投标人为中标人，价格相同的则由评委会随机抽取中标候选人推荐中标。</w:t>
      </w:r>
    </w:p>
    <w:p w14:paraId="62355C84">
      <w:pPr>
        <w:spacing w:line="300" w:lineRule="auto"/>
        <w:rPr>
          <w:rFonts w:ascii="宋体" w:hAnsi="宋体"/>
          <w:spacing w:val="10"/>
          <w:sz w:val="24"/>
          <w:szCs w:val="20"/>
          <w:highlight w:val="none"/>
        </w:rPr>
      </w:pPr>
      <w:r>
        <w:rPr>
          <w:rFonts w:ascii="宋体" w:hAnsi="宋体"/>
          <w:spacing w:val="10"/>
          <w:sz w:val="24"/>
          <w:szCs w:val="20"/>
          <w:highlight w:val="none"/>
        </w:rPr>
        <w:t>4</w:t>
      </w:r>
      <w:r>
        <w:rPr>
          <w:rFonts w:hint="eastAsia" w:ascii="宋体" w:hAnsi="宋体"/>
          <w:spacing w:val="10"/>
          <w:sz w:val="24"/>
          <w:szCs w:val="20"/>
          <w:highlight w:val="none"/>
        </w:rPr>
        <w:t>.</w:t>
      </w:r>
      <w:r>
        <w:rPr>
          <w:rFonts w:ascii="宋体" w:hAnsi="宋体"/>
          <w:spacing w:val="10"/>
          <w:sz w:val="24"/>
          <w:szCs w:val="20"/>
          <w:highlight w:val="none"/>
        </w:rPr>
        <w:t xml:space="preserve"> 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66387A63">
      <w:pPr>
        <w:spacing w:line="300" w:lineRule="auto"/>
        <w:rPr>
          <w:rFonts w:ascii="宋体" w:hAnsi="宋体"/>
          <w:spacing w:val="10"/>
          <w:sz w:val="24"/>
          <w:szCs w:val="20"/>
          <w:highlight w:val="none"/>
        </w:rPr>
      </w:pPr>
      <w:r>
        <w:rPr>
          <w:rFonts w:hint="eastAsia" w:ascii="宋体" w:hAnsi="宋体"/>
          <w:spacing w:val="10"/>
          <w:sz w:val="24"/>
          <w:szCs w:val="20"/>
          <w:highlight w:val="none"/>
        </w:rPr>
        <w:t>5</w:t>
      </w:r>
      <w:r>
        <w:rPr>
          <w:rFonts w:ascii="宋体" w:hAnsi="宋体"/>
          <w:spacing w:val="10"/>
          <w:sz w:val="24"/>
          <w:szCs w:val="20"/>
          <w:highlight w:val="none"/>
        </w:rPr>
        <w:t>.</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11CE05F9">
      <w:pPr>
        <w:spacing w:line="300" w:lineRule="auto"/>
        <w:rPr>
          <w:rFonts w:ascii="宋体" w:hAnsi="宋体"/>
          <w:spacing w:val="10"/>
          <w:sz w:val="24"/>
          <w:szCs w:val="20"/>
          <w:highlight w:val="none"/>
        </w:rPr>
      </w:pPr>
      <w:r>
        <w:rPr>
          <w:rFonts w:ascii="宋体" w:hAnsi="宋体"/>
          <w:spacing w:val="10"/>
          <w:sz w:val="24"/>
          <w:szCs w:val="20"/>
          <w:highlight w:val="none"/>
        </w:rPr>
        <w:t>6</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6CD3652C">
      <w:pPr>
        <w:spacing w:line="300" w:lineRule="auto"/>
        <w:rPr>
          <w:rFonts w:ascii="宋体" w:hAnsi="宋体"/>
          <w:spacing w:val="10"/>
          <w:sz w:val="24"/>
          <w:szCs w:val="20"/>
          <w:highlight w:val="none"/>
        </w:rPr>
      </w:pPr>
    </w:p>
    <w:p w14:paraId="752A5C77">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2D5D8E11">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17B90096">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526B811F">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33DAC0BD">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lang w:eastAsia="zh-CN"/>
        </w:rPr>
        <w:t>未</w:t>
      </w:r>
      <w:r>
        <w:rPr>
          <w:rFonts w:hint="eastAsia" w:ascii="宋体" w:hAnsi="宋体"/>
          <w:sz w:val="24"/>
          <w:szCs w:val="24"/>
          <w:highlight w:val="none"/>
        </w:rPr>
        <w:t>签字；</w:t>
      </w:r>
    </w:p>
    <w:p w14:paraId="46878327">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577566F1">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0AC9F2EC">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b/>
          <w:sz w:val="24"/>
          <w:highlight w:val="none"/>
        </w:rPr>
        <w:t>”</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2D780B14">
      <w:pPr>
        <w:numPr>
          <w:ilvl w:val="6"/>
          <w:numId w:val="15"/>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50</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32EF9702">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53AA9425">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3FA3B716">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16DE9D40">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20A1F13B">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428F1E5D">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2618A8E1">
      <w:pPr>
        <w:numPr>
          <w:ilvl w:val="6"/>
          <w:numId w:val="15"/>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55472AF2">
      <w:pPr>
        <w:tabs>
          <w:tab w:val="left" w:pos="360"/>
          <w:tab w:val="left" w:pos="3660"/>
        </w:tabs>
        <w:spacing w:line="300" w:lineRule="auto"/>
        <w:ind w:left="360"/>
        <w:rPr>
          <w:rFonts w:ascii="宋体" w:hAnsi="宋体"/>
          <w:sz w:val="24"/>
          <w:szCs w:val="24"/>
          <w:highlight w:val="none"/>
        </w:rPr>
      </w:pPr>
    </w:p>
    <w:p w14:paraId="2558E282">
      <w:pPr>
        <w:spacing w:line="360" w:lineRule="auto"/>
        <w:rPr>
          <w:rFonts w:ascii="宋体" w:hAnsi="宋体"/>
          <w:b/>
          <w:sz w:val="24"/>
          <w:szCs w:val="24"/>
          <w:highlight w:val="none"/>
        </w:rPr>
      </w:pPr>
      <w:r>
        <w:rPr>
          <w:rFonts w:hint="eastAsia" w:ascii="宋体" w:hAnsi="宋体"/>
          <w:b/>
          <w:sz w:val="24"/>
          <w:szCs w:val="24"/>
          <w:highlight w:val="none"/>
        </w:rPr>
        <w:t>三、评标标准</w:t>
      </w:r>
    </w:p>
    <w:p w14:paraId="270E93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highlight w:val="none"/>
        </w:rPr>
      </w:pPr>
      <w:r>
        <w:rPr>
          <w:rFonts w:hint="eastAsia" w:ascii="宋体" w:hAnsi="宋体"/>
          <w:sz w:val="24"/>
          <w:szCs w:val="24"/>
          <w:highlight w:val="none"/>
        </w:rPr>
        <w:t>本招标评标采用综合评分法，满分为100分：其中价格分为</w:t>
      </w:r>
      <w:r>
        <w:rPr>
          <w:rFonts w:hint="eastAsia" w:ascii="宋体" w:hAnsi="宋体"/>
          <w:sz w:val="24"/>
          <w:szCs w:val="24"/>
          <w:highlight w:val="none"/>
          <w:lang w:val="en-US" w:eastAsia="zh-CN"/>
        </w:rPr>
        <w:t>20</w:t>
      </w:r>
      <w:r>
        <w:rPr>
          <w:rFonts w:hint="eastAsia" w:ascii="宋体" w:hAnsi="宋体"/>
          <w:sz w:val="24"/>
          <w:szCs w:val="24"/>
          <w:highlight w:val="none"/>
        </w:rPr>
        <w:t>分，商务技术分为</w:t>
      </w:r>
      <w:r>
        <w:rPr>
          <w:rFonts w:hint="eastAsia" w:ascii="宋体" w:hAnsi="宋体"/>
          <w:sz w:val="24"/>
          <w:szCs w:val="24"/>
          <w:highlight w:val="none"/>
          <w:lang w:val="en-US" w:eastAsia="zh-CN"/>
        </w:rPr>
        <w:t>80</w:t>
      </w:r>
      <w:r>
        <w:rPr>
          <w:rFonts w:hint="eastAsia" w:ascii="宋体" w:hAnsi="宋体"/>
          <w:sz w:val="24"/>
          <w:szCs w:val="24"/>
          <w:highlight w:val="none"/>
        </w:rPr>
        <w:t>分。</w:t>
      </w:r>
    </w:p>
    <w:p w14:paraId="3E1D9661">
      <w:pPr>
        <w:keepNext w:val="0"/>
        <w:keepLines w:val="0"/>
        <w:pageBreakBefore w:val="0"/>
        <w:widowControl w:val="0"/>
        <w:kinsoku/>
        <w:wordWrap/>
        <w:overflowPunct/>
        <w:topLinePunct w:val="0"/>
        <w:autoSpaceDE/>
        <w:autoSpaceDN/>
        <w:bidi w:val="0"/>
        <w:adjustRightInd/>
        <w:snapToGrid/>
        <w:spacing w:line="300" w:lineRule="auto"/>
        <w:ind w:firstLine="520" w:firstLineChars="200"/>
        <w:textAlignment w:val="auto"/>
        <w:rPr>
          <w:rFonts w:hint="eastAsia" w:ascii="宋体" w:hAnsi="宋体"/>
          <w:color w:val="000000"/>
          <w:spacing w:val="10"/>
          <w:sz w:val="24"/>
          <w:highlight w:val="none"/>
        </w:rPr>
      </w:pPr>
      <w:r>
        <w:rPr>
          <w:rFonts w:hint="eastAsia" w:ascii="宋体" w:hAnsi="宋体"/>
          <w:color w:val="000000"/>
          <w:spacing w:val="10"/>
          <w:sz w:val="24"/>
          <w:highlight w:val="none"/>
        </w:rPr>
        <w:t>如某投标人投标总价低于全部通过符合性审查投标人报价均价的比例超过</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u w:val="single"/>
          <w:lang w:val="en-US" w:eastAsia="zh-CN"/>
        </w:rPr>
        <w:t>27.78</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rPr>
        <w:t>（含），有可能影响产品/服务质量或者不能诚信履约的，投标人应在合理时间内提供书面说明，提交相关证明材料，并提供履约担保，担保金额为首年合同金额的</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u w:val="single"/>
          <w:lang w:val="en-US" w:eastAsia="zh-CN"/>
        </w:rPr>
        <w:t>10</w:t>
      </w:r>
      <w:r>
        <w:rPr>
          <w:rFonts w:hint="eastAsia" w:ascii="宋体" w:hAnsi="宋体"/>
          <w:color w:val="000000"/>
          <w:spacing w:val="10"/>
          <w:sz w:val="24"/>
          <w:highlight w:val="none"/>
          <w:u w:val="single"/>
        </w:rPr>
        <w:t xml:space="preserve"> %</w:t>
      </w:r>
      <w:r>
        <w:rPr>
          <w:rFonts w:hint="eastAsia" w:ascii="宋体" w:hAnsi="宋体"/>
          <w:color w:val="000000"/>
          <w:spacing w:val="10"/>
          <w:sz w:val="24"/>
          <w:highlight w:val="none"/>
        </w:rPr>
        <w:t>；投标人不能证明其报价合理性的或不能提供履约担保的（如有），评标委员会（评审小组）应当将其作为无效投标处理。</w:t>
      </w:r>
    </w:p>
    <w:p w14:paraId="750C13FC">
      <w:pPr>
        <w:keepNext w:val="0"/>
        <w:keepLines w:val="0"/>
        <w:pageBreakBefore w:val="0"/>
        <w:widowControl w:val="0"/>
        <w:kinsoku/>
        <w:wordWrap/>
        <w:overflowPunct/>
        <w:topLinePunct w:val="0"/>
        <w:autoSpaceDE/>
        <w:autoSpaceDN/>
        <w:bidi w:val="0"/>
        <w:adjustRightInd/>
        <w:snapToGrid/>
        <w:spacing w:line="300" w:lineRule="auto"/>
        <w:ind w:firstLine="520" w:firstLineChars="200"/>
        <w:textAlignment w:val="auto"/>
        <w:rPr>
          <w:rFonts w:hint="eastAsia" w:ascii="宋体" w:hAnsi="宋体"/>
          <w:color w:val="000000"/>
          <w:spacing w:val="10"/>
          <w:sz w:val="24"/>
          <w:highlight w:val="none"/>
        </w:rPr>
      </w:pPr>
      <w:r>
        <w:rPr>
          <w:rFonts w:hint="eastAsia" w:ascii="宋体" w:hAnsi="宋体"/>
          <w:color w:val="000000"/>
          <w:spacing w:val="10"/>
          <w:sz w:val="24"/>
          <w:highlight w:val="none"/>
        </w:rPr>
        <w:t>若所有的有效投标经评分后商务技术得分大于等于</w:t>
      </w:r>
      <w:r>
        <w:rPr>
          <w:rFonts w:hint="eastAsia" w:ascii="宋体" w:hAnsi="宋体"/>
          <w:color w:val="000000"/>
          <w:spacing w:val="10"/>
          <w:sz w:val="24"/>
          <w:highlight w:val="none"/>
          <w:u w:val="single"/>
          <w:lang w:val="en-US" w:eastAsia="zh-CN"/>
        </w:rPr>
        <w:t xml:space="preserve"> 48  </w:t>
      </w:r>
      <w:r>
        <w:rPr>
          <w:rFonts w:hint="eastAsia" w:ascii="宋体" w:hAnsi="宋体"/>
          <w:color w:val="000000"/>
          <w:spacing w:val="10"/>
          <w:sz w:val="24"/>
          <w:highlight w:val="none"/>
        </w:rPr>
        <w:t>分的投标少于1家，本次采购作流标处理。</w:t>
      </w:r>
    </w:p>
    <w:p w14:paraId="33B5E33B">
      <w:pPr>
        <w:spacing w:line="300" w:lineRule="auto"/>
        <w:rPr>
          <w:rFonts w:ascii="宋体" w:hAnsi="宋体"/>
          <w:color w:val="000000"/>
          <w:spacing w:val="10"/>
          <w:sz w:val="24"/>
          <w:szCs w:val="20"/>
          <w:highlight w:val="none"/>
        </w:rPr>
      </w:pPr>
    </w:p>
    <w:p w14:paraId="3A53E071">
      <w:pPr>
        <w:spacing w:line="360" w:lineRule="auto"/>
        <w:rPr>
          <w:rFonts w:ascii="宋体" w:hAnsi="宋体"/>
          <w:b/>
          <w:sz w:val="24"/>
          <w:szCs w:val="24"/>
          <w:highlight w:val="none"/>
        </w:rPr>
      </w:pPr>
      <w:r>
        <w:rPr>
          <w:rFonts w:hint="eastAsia" w:ascii="宋体" w:hAnsi="宋体"/>
          <w:b/>
          <w:sz w:val="24"/>
          <w:szCs w:val="24"/>
          <w:highlight w:val="none"/>
        </w:rPr>
        <w:t>四</w:t>
      </w:r>
      <w:r>
        <w:rPr>
          <w:rFonts w:ascii="宋体" w:hAnsi="宋体"/>
          <w:b/>
          <w:sz w:val="24"/>
          <w:szCs w:val="24"/>
          <w:highlight w:val="none"/>
        </w:rPr>
        <w:t>、</w:t>
      </w:r>
      <w:r>
        <w:rPr>
          <w:rFonts w:hint="eastAsia" w:ascii="宋体" w:hAnsi="宋体"/>
          <w:b/>
          <w:sz w:val="24"/>
          <w:szCs w:val="24"/>
          <w:highlight w:val="none"/>
        </w:rPr>
        <w:t>价格评分</w:t>
      </w:r>
    </w:p>
    <w:p w14:paraId="5919C62D">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符合招标文件要求的为有效投标。所有有效投标人中最低投标价格作为评标基准价，其得分为满分（</w:t>
      </w:r>
      <w:r>
        <w:rPr>
          <w:rFonts w:hint="eastAsia" w:ascii="宋体" w:hAnsi="宋体"/>
          <w:color w:val="000000"/>
          <w:spacing w:val="10"/>
          <w:sz w:val="24"/>
          <w:szCs w:val="20"/>
          <w:highlight w:val="none"/>
          <w:lang w:val="en-US" w:eastAsia="zh-CN"/>
        </w:rPr>
        <w:t>20</w:t>
      </w:r>
      <w:r>
        <w:rPr>
          <w:rFonts w:hint="eastAsia" w:ascii="宋体" w:hAnsi="宋体"/>
          <w:color w:val="000000"/>
          <w:spacing w:val="10"/>
          <w:sz w:val="24"/>
          <w:szCs w:val="20"/>
          <w:highlight w:val="none"/>
        </w:rPr>
        <w:t>分），其他有效投标报价得分计算公式如下：</w:t>
      </w:r>
    </w:p>
    <w:p w14:paraId="5528A85E">
      <w:pPr>
        <w:spacing w:line="300" w:lineRule="auto"/>
        <w:ind w:firstLine="613" w:firstLineChars="236"/>
        <w:rPr>
          <w:rFonts w:hint="default" w:ascii="宋体" w:hAnsi="宋体" w:eastAsia="宋体"/>
          <w:color w:val="000000"/>
          <w:spacing w:val="10"/>
          <w:sz w:val="24"/>
          <w:szCs w:val="20"/>
          <w:highlight w:val="none"/>
          <w:lang w:val="en-US" w:eastAsia="zh-CN"/>
        </w:rPr>
      </w:pPr>
      <w:r>
        <w:rPr>
          <w:rFonts w:hint="eastAsia" w:ascii="宋体" w:hAnsi="宋体"/>
          <w:color w:val="000000"/>
          <w:spacing w:val="10"/>
          <w:sz w:val="24"/>
          <w:szCs w:val="20"/>
          <w:highlight w:val="none"/>
        </w:rPr>
        <w:t>投标价格得分=（评标基准价/投标报价）*</w:t>
      </w:r>
      <w:r>
        <w:rPr>
          <w:rFonts w:hint="eastAsia" w:ascii="宋体" w:hAnsi="宋体"/>
          <w:color w:val="000000"/>
          <w:spacing w:val="10"/>
          <w:sz w:val="24"/>
          <w:szCs w:val="20"/>
          <w:highlight w:val="none"/>
          <w:lang w:val="en-US" w:eastAsia="zh-CN"/>
        </w:rPr>
        <w:t>20</w:t>
      </w:r>
    </w:p>
    <w:p w14:paraId="51935EE7">
      <w:pPr>
        <w:spacing w:line="360" w:lineRule="auto"/>
        <w:rPr>
          <w:rFonts w:ascii="宋体" w:hAnsi="宋体"/>
          <w:b/>
          <w:sz w:val="24"/>
          <w:szCs w:val="24"/>
          <w:highlight w:val="none"/>
        </w:rPr>
      </w:pPr>
      <w:r>
        <w:rPr>
          <w:rFonts w:hint="eastAsia" w:ascii="宋体" w:hAnsi="宋体"/>
          <w:b/>
          <w:sz w:val="24"/>
          <w:szCs w:val="24"/>
          <w:highlight w:val="none"/>
        </w:rPr>
        <w:t>五</w:t>
      </w:r>
      <w:r>
        <w:rPr>
          <w:rFonts w:ascii="宋体" w:hAnsi="宋体"/>
          <w:b/>
          <w:sz w:val="24"/>
          <w:szCs w:val="24"/>
          <w:highlight w:val="none"/>
        </w:rPr>
        <w:t>、</w:t>
      </w:r>
      <w:r>
        <w:rPr>
          <w:rFonts w:hint="eastAsia" w:ascii="宋体" w:hAnsi="宋体"/>
          <w:b/>
          <w:sz w:val="24"/>
          <w:szCs w:val="24"/>
          <w:highlight w:val="none"/>
        </w:rPr>
        <w:t>商务</w:t>
      </w:r>
      <w:r>
        <w:rPr>
          <w:rFonts w:ascii="宋体" w:hAnsi="宋体"/>
          <w:b/>
          <w:sz w:val="24"/>
          <w:szCs w:val="24"/>
          <w:highlight w:val="none"/>
        </w:rPr>
        <w:t>技术评分</w:t>
      </w:r>
    </w:p>
    <w:p w14:paraId="2504A2BE">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为使评分时能体现量化，评委按以下内容进行评定后打分，各项得分合计后计算算术平均值后为各投标单位的最终得分。</w:t>
      </w:r>
    </w:p>
    <w:tbl>
      <w:tblPr>
        <w:tblStyle w:val="8"/>
        <w:tblW w:w="5143" w:type="pct"/>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6"/>
        <w:gridCol w:w="1407"/>
        <w:gridCol w:w="7143"/>
        <w:gridCol w:w="730"/>
      </w:tblGrid>
      <w:tr w14:paraId="41FC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285FBFA3">
            <w:pPr>
              <w:keepNext w:val="0"/>
              <w:keepLines w:val="0"/>
              <w:widowControl/>
              <w:suppressLineNumbers w:val="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698" w:type="pct"/>
            <w:tcBorders>
              <w:top w:val="single" w:color="000000" w:sz="4" w:space="0"/>
              <w:left w:val="single" w:color="000000" w:sz="4" w:space="0"/>
              <w:bottom w:val="single" w:color="000000" w:sz="4" w:space="0"/>
              <w:right w:val="single" w:color="000000" w:sz="4" w:space="0"/>
            </w:tcBorders>
            <w:noWrap/>
            <w:vAlign w:val="center"/>
          </w:tcPr>
          <w:p w14:paraId="6CC6E3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评标要素</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1913E7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评分项</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0877F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分值</w:t>
            </w:r>
          </w:p>
        </w:tc>
      </w:tr>
      <w:tr w14:paraId="38C8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52BF3D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98" w:type="pct"/>
            <w:vMerge w:val="restart"/>
            <w:tcBorders>
              <w:top w:val="single" w:color="000000" w:sz="4" w:space="0"/>
              <w:left w:val="single" w:color="000000" w:sz="4" w:space="0"/>
              <w:bottom w:val="single" w:color="000000" w:sz="4" w:space="0"/>
              <w:right w:val="single" w:color="000000" w:sz="4" w:space="0"/>
            </w:tcBorders>
            <w:noWrap/>
            <w:vAlign w:val="center"/>
          </w:tcPr>
          <w:p w14:paraId="42D3E4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案例</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207679E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自2023年1月1日以来，投标人提供ISO 9001质量管理体系的咨询、认证、监督审核经验的案例，每个案例得2分，共10分。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（须提供合同复印件，合同签署者必须为投标人，合同内容须包含ISO 9001质量管理体系相关服务,合同签署日须为2023年1月1日起,否则不得分。）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6DA4B4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71F5A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B429A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698" w:type="pct"/>
            <w:vMerge w:val="continue"/>
            <w:tcBorders>
              <w:top w:val="single" w:color="000000" w:sz="4" w:space="0"/>
              <w:left w:val="single" w:color="000000" w:sz="4" w:space="0"/>
              <w:bottom w:val="single" w:color="000000" w:sz="4" w:space="0"/>
              <w:right w:val="single" w:color="000000" w:sz="4" w:space="0"/>
            </w:tcBorders>
            <w:noWrap/>
            <w:vAlign w:val="center"/>
          </w:tcPr>
          <w:p w14:paraId="51F6472F">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17FA85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自2023年1月1日以来，投标人提供ISO 27001信息安全管理体系的咨询、认证、监督审核经验的案例，每个案例得2分，共10分。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（须提供合同复印件，合同签署者必须为投标人，合同内容须包含ISO 27001信息安全管理体系相关服务,合同签署日须为2023年1月1日起,否则不得分。）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0F1534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5C068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6D0D4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7D4C2D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企业综合实力</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2700366">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1、投标人具备由中国合格评定国家认可委员会（CNAS）授信的认证机构颁发的ISO 27001信息安全管理体系认证证书，得1分。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（须提供证书复印件，证书上须有CNAS认可标识，否则不得分。）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2、投标人具备由中国合格评定国家认可委员会（CNAS）授信的认证机构颁发的ISO 9001质量管理体系认证证书，得1分。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（须提供证书复印件，证书上须有CNAS认可标识，否则不得分。）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3、投标人具备由中国网络安全审查认证和市场监管大数据中心颁发的信息安全风险评估服务资质证书，得1分。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792F15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0D8D0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4356D9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1C64A0B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本地化服务</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815E29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投标人能提供上海本地化服务，得1分。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（须提供上海本地化服务证明，如办公场所租赁合同复印件等，内容需要包含所租赁办公场所的地址，合同签署双方盖章信息等，否则不得分。）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FCB753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p>
        </w:tc>
      </w:tr>
      <w:tr w14:paraId="3C9B4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13E23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581B11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服务方案</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2652923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ISO 9001质量管理体系技术方案：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根据投标人提供的ISO 9001质量管理体系总体实施方案进行打分，共5分。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（1）方案内容齐全、安排合理、可操作性强的，得5分；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（2）方案内容完整、可操作性一般的，得3分；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（3）方案内容有缺、可操作性一般的，得1分；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（4）方案内容有缺、可操作性较差或未提供方案不得分。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97BE9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0B60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15071A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869317">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425E0AD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ISO 27001信息安全管理体系技术方案：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根据投标人提供的ISO 27001信息安全管理体系总体实施方案进行打分，共5分。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（1）方案内容齐全、安排合理、可操作性强的，得5分；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（2）方案内容完整、可操作性一般的，得3分；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（3）方案内容有缺、可操作性一般的，得1分；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（4）方案内容有缺、可操作性较差或未提供方案不得分。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4DB638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54FE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53A558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815003">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AB2EEF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计划安排：</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根据投标人提供的服务计划安排进行打分，内容包含时间安排、关键节点目标等具体内容，共5分。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（1）计划完整、关键节点目标明确、可操作性强的，得5分；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（2）计划完整、可操作性一般的，得3分；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（3）计划有缺、可操作性一般的，得1分；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（4）计划有缺、可操作性较差或未提供方案不得分。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7126C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475BC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786D01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F3C8CE">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316C26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保密措施：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根据投标人提供的保密措施进行打分，内容包含管理要点、管理措施等具体内容，共5分。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（1）保密措施完整、可操作性强的，得5分；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（2）保密措施完整、可操作性一般的，得3分；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（3）保密措施有缺、可操作性一般的，得1分；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（4）保密措施有缺、可操作性较差或未提供方案不得分。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E4DD0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03D7E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6ACB65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40413A">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658EDE2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风险管理：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根据投标人提供的风险管理方案进行打分，内容包含项目风险识别、管理手段、详细的风险管理措施，共5分。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（1）风险管理内容完整、可操作性强的，得5分；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（2）风险管理内容完整、可操作性一般的，得3分；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（3）风险管理内容有缺、可操作性一般的，得1分；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（4）风险管理内容有缺、可操作性较差或未提供方案不得分。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1EF23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3644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BA588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10</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E83451">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BB4214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质量管理：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根据投标人提供的质量保障方案进行打分，内容包含质量管理与控制手段等具体内容，共5分。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（1）质量管理内容完整、可操作性强的，得5分；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（2）质量管理内容完整、可操作性一般的，得3分；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（3）质量管理内容有缺、可操作性一般的，得1分；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（4）质量管理内容有缺、可操作性较差或未提供方案不得分。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AC509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3BA4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25A16F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11</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4DF052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12F54D19">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1、项目经理具备本科及以上学历且从业经历10年及以上的，得1分。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（投标人须提供证书复印件及简历，否则不得分。）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2、项目经理具备中国信息安全测评中心颁发的CISP注册信息安全专业人员资质证书，得1分。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3、项目经理具备中国网络安全审查认证和市场监管大数据中心颁发的CISAW信息安全保障人员资质，得1分。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85494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15C50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9D4EC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12</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850A3C">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A7976C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项目经理自2023年1月1日起在ISO 9001质量管理体系咨询服务中担任项目经理的，每个案例得1分，共3分。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 9001质量管理体系相关服务，且合同中须体现项目经理姓名，项目角色为项目经理，否则不得分。）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3CA9E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5CAC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05F993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13</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DECA14">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0647B91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项目经理自2023年1月1日起在ISO27001信息安全管理体系咨询服务中担任项目经理的，每个案例得1分，共3分。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（需要提供已签署的合同案例复印件，合同签署者必须为投标人，合同内容须包含ISO27001信息安全管理体系相关服务，且合同中须体现项目经理姓名，项目角色为项目经理，否则不得分。）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9BC361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7FA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424616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14</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14:paraId="096E65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项目服务人员</w:t>
            </w: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43BB95A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项目服务团队（项目经理除外）人员数量超过5人（不含）的，得1分。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0B2F5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78D51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36149F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15</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5FB8CF">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0891A6D">
            <w:pPr>
              <w:keepNext w:val="0"/>
              <w:keepLines w:val="0"/>
              <w:widowControl/>
              <w:numPr>
                <w:ilvl w:val="0"/>
                <w:numId w:val="16"/>
              </w:numPr>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团队人员（项目经理除外）具备中国信息安全测评中心颁发的CISP注册信息安全专业人员资质证书，每有1人得1分，共2分。</w:t>
            </w:r>
          </w:p>
          <w:p w14:paraId="384172BE">
            <w:pPr>
              <w:keepNext w:val="0"/>
              <w:keepLines w:val="0"/>
              <w:widowControl/>
              <w:numPr>
                <w:ilvl w:val="0"/>
                <w:numId w:val="16"/>
              </w:numPr>
              <w:suppressLineNumbers w:val="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团队人员（项目经理除外）具备ISO 27001:2022审核员培训资质，每有1人得1分，共3分。</w:t>
            </w:r>
          </w:p>
          <w:p w14:paraId="16B7BFEB">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3、团队人员（项目经理除外）具备ISO 9001:2015审核员培训资质，每有1人得1分，共3分。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（投标人须提供证书复印件，否则不得分）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173F27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23F7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5" w:type="pct"/>
            <w:tcBorders>
              <w:top w:val="single" w:color="000000" w:sz="4" w:space="0"/>
              <w:left w:val="single" w:color="000000" w:sz="4" w:space="0"/>
              <w:bottom w:val="single" w:color="000000" w:sz="4" w:space="0"/>
              <w:right w:val="single" w:color="000000" w:sz="4" w:space="0"/>
            </w:tcBorders>
            <w:noWrap w:val="0"/>
            <w:vAlign w:val="center"/>
          </w:tcPr>
          <w:p w14:paraId="0214B5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16</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1C4671">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315296C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自2023年1月1日起参与过ISO 9001质量管理体系咨询服务超过3次（含）的服务团队人员人数（项目经理除外），5人以上的，得4分；2至5人（含）的，得2分；不足2人，或未提供证明的，得0分。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 9001质量管理体系相关服务，且合同中须体现项目服务团队人员姓名，否则不得分。）</w:t>
            </w:r>
          </w:p>
        </w:tc>
        <w:tc>
          <w:tcPr>
            <w:tcW w:w="362" w:type="pct"/>
            <w:tcBorders>
              <w:top w:val="single" w:color="000000" w:sz="4" w:space="0"/>
              <w:left w:val="single" w:color="000000" w:sz="4" w:space="0"/>
              <w:bottom w:val="single" w:color="000000" w:sz="4" w:space="0"/>
              <w:right w:val="single" w:color="000000" w:sz="4" w:space="0"/>
            </w:tcBorders>
            <w:noWrap w:val="0"/>
            <w:vAlign w:val="center"/>
          </w:tcPr>
          <w:p w14:paraId="1977AC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590D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395" w:type="pct"/>
            <w:tcBorders>
              <w:top w:val="single" w:color="000000" w:sz="4" w:space="0"/>
              <w:left w:val="single" w:color="000000" w:sz="4" w:space="0"/>
              <w:bottom w:val="single" w:color="000000" w:sz="4" w:space="0"/>
              <w:right w:val="single" w:color="000000" w:sz="4" w:space="0"/>
            </w:tcBorders>
            <w:noWrap/>
            <w:vAlign w:val="center"/>
          </w:tcPr>
          <w:p w14:paraId="10A9E4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17</w:t>
            </w: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2E937B">
            <w:pPr>
              <w:jc w:val="center"/>
              <w:rPr>
                <w:rFonts w:hint="eastAsia" w:ascii="宋体" w:hAnsi="宋体" w:eastAsia="宋体" w:cs="宋体"/>
                <w:i w:val="0"/>
                <w:iCs w:val="0"/>
                <w:color w:val="000000"/>
                <w:sz w:val="21"/>
                <w:szCs w:val="21"/>
                <w:highlight w:val="none"/>
                <w:u w:val="none"/>
              </w:rPr>
            </w:pPr>
          </w:p>
        </w:tc>
        <w:tc>
          <w:tcPr>
            <w:tcW w:w="3543" w:type="pct"/>
            <w:tcBorders>
              <w:top w:val="single" w:color="000000" w:sz="4" w:space="0"/>
              <w:left w:val="single" w:color="000000" w:sz="4" w:space="0"/>
              <w:bottom w:val="single" w:color="000000" w:sz="4" w:space="0"/>
              <w:right w:val="single" w:color="000000" w:sz="4" w:space="0"/>
            </w:tcBorders>
            <w:noWrap w:val="0"/>
            <w:vAlign w:val="center"/>
          </w:tcPr>
          <w:p w14:paraId="7623860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自2023年1月1日起参与过ISO 27001信息安全管理体系咨询服务超过3次（含）的服务团队人员人数（项目经理除外），5人以上的，得4分；2至5人（含）的，得2分；不足2人，或未提供证明的，得0分。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（需要提供已签署的合同案例复印件，合同签署者必须为投标人，合同内容须包含ISO27001信息安全管理体系相关服务，且合同中须体现项目服务团队人员姓名，否则不得分。）</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4C0EF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bl>
    <w:p w14:paraId="70D22193">
      <w:pPr>
        <w:snapToGrid w:val="0"/>
        <w:spacing w:line="360" w:lineRule="auto"/>
        <w:jc w:val="left"/>
        <w:rPr>
          <w:rFonts w:ascii="宋体" w:hAnsi="宋体"/>
          <w:color w:val="000000"/>
          <w:spacing w:val="10"/>
          <w:szCs w:val="21"/>
          <w:highlight w:val="none"/>
        </w:rPr>
      </w:pPr>
    </w:p>
    <w:p w14:paraId="39122E9E">
      <w:pPr>
        <w:snapToGrid w:val="0"/>
        <w:spacing w:line="360" w:lineRule="auto"/>
        <w:jc w:val="left"/>
        <w:rPr>
          <w:rFonts w:hint="eastAsia" w:ascii="宋体" w:hAnsi="宋体" w:eastAsia="宋体"/>
          <w:color w:val="000000"/>
          <w:spacing w:val="10"/>
          <w:szCs w:val="21"/>
          <w:highlight w:val="none"/>
          <w:lang w:eastAsia="zh-CN"/>
        </w:rPr>
      </w:pPr>
      <w:r>
        <w:rPr>
          <w:rFonts w:ascii="宋体" w:hAnsi="宋体"/>
          <w:color w:val="000000"/>
          <w:spacing w:val="10"/>
          <w:szCs w:val="21"/>
          <w:highlight w:val="none"/>
        </w:rPr>
        <w:t>1</w:t>
      </w:r>
      <w:r>
        <w:rPr>
          <w:rFonts w:hint="eastAsia" w:ascii="宋体" w:hAnsi="宋体"/>
          <w:color w:val="000000"/>
          <w:spacing w:val="10"/>
          <w:szCs w:val="21"/>
          <w:highlight w:val="none"/>
        </w:rPr>
        <w:t>、属于主观评价的指标包括</w:t>
      </w:r>
      <w:r>
        <w:rPr>
          <w:rFonts w:hint="eastAsia" w:ascii="宋体" w:hAnsi="宋体"/>
          <w:color w:val="000000"/>
          <w:spacing w:val="10"/>
          <w:szCs w:val="21"/>
          <w:highlight w:val="none"/>
          <w:u w:val="single"/>
        </w:rPr>
        <w:t xml:space="preserve"> 5-10 </w:t>
      </w:r>
      <w:r>
        <w:rPr>
          <w:rFonts w:hint="eastAsia" w:ascii="宋体" w:hAnsi="宋体"/>
          <w:color w:val="000000"/>
          <w:spacing w:val="10"/>
          <w:szCs w:val="21"/>
          <w:highlight w:val="none"/>
        </w:rPr>
        <w:t>；属于客观评价的指标包括</w:t>
      </w:r>
      <w:r>
        <w:rPr>
          <w:rFonts w:hint="eastAsia" w:ascii="宋体" w:hAnsi="宋体"/>
          <w:color w:val="000000"/>
          <w:spacing w:val="10"/>
          <w:szCs w:val="21"/>
          <w:highlight w:val="none"/>
          <w:u w:val="single"/>
        </w:rPr>
        <w:t xml:space="preserve"> 1-4,11-17 </w:t>
      </w:r>
      <w:r>
        <w:rPr>
          <w:rFonts w:hint="eastAsia" w:ascii="宋体" w:hAnsi="宋体"/>
          <w:color w:val="000000"/>
          <w:spacing w:val="10"/>
          <w:szCs w:val="21"/>
          <w:highlight w:val="none"/>
          <w:lang w:eastAsia="zh-CN"/>
        </w:rPr>
        <w:t>；</w:t>
      </w:r>
    </w:p>
    <w:p w14:paraId="72FF2367">
      <w:pPr>
        <w:rPr>
          <w:rFonts w:ascii="宋体" w:hAnsi="宋体"/>
          <w:color w:val="000000"/>
          <w:spacing w:val="10"/>
          <w:szCs w:val="21"/>
          <w:highlight w:val="none"/>
        </w:rPr>
      </w:pPr>
      <w:r>
        <w:rPr>
          <w:rFonts w:ascii="宋体" w:hAnsi="宋体"/>
          <w:color w:val="000000"/>
          <w:spacing w:val="10"/>
          <w:szCs w:val="21"/>
          <w:highlight w:val="none"/>
        </w:rPr>
        <w:t>2</w:t>
      </w:r>
      <w:r>
        <w:rPr>
          <w:rFonts w:hint="eastAsia" w:ascii="宋体" w:hAnsi="宋体"/>
          <w:color w:val="000000"/>
          <w:spacing w:val="10"/>
          <w:szCs w:val="21"/>
          <w:highlight w:val="none"/>
        </w:rPr>
        <w:t>、每一评分项均不重复得分；</w:t>
      </w:r>
    </w:p>
    <w:p w14:paraId="4E128686">
      <w:pPr>
        <w:snapToGrid w:val="0"/>
        <w:spacing w:line="360" w:lineRule="auto"/>
        <w:jc w:val="left"/>
        <w:rPr>
          <w:rFonts w:hint="eastAsia" w:ascii="宋体" w:hAnsi="宋体"/>
          <w:color w:val="000000"/>
          <w:sz w:val="24"/>
          <w:szCs w:val="24"/>
          <w:highlight w:val="none"/>
        </w:rPr>
      </w:pPr>
      <w:r>
        <w:rPr>
          <w:rFonts w:hint="eastAsia" w:ascii="宋体" w:hAnsi="宋体"/>
          <w:color w:val="000000"/>
          <w:spacing w:val="10"/>
          <w:szCs w:val="21"/>
          <w:highlight w:val="none"/>
          <w:lang w:val="en-US" w:eastAsia="zh-CN"/>
        </w:rPr>
        <w:t>3</w:t>
      </w:r>
      <w:r>
        <w:rPr>
          <w:rFonts w:hint="eastAsia" w:ascii="宋体" w:hAnsi="宋体"/>
          <w:color w:val="000000"/>
          <w:spacing w:val="10"/>
          <w:szCs w:val="21"/>
          <w:highlight w:val="none"/>
        </w:rPr>
        <w:t>、因具有资质、证书等原因得分的，投标人须提交清晰的资质或证书的原件扫描复印件（其他证明文件无效），否则不予得分</w:t>
      </w:r>
      <w:r>
        <w:rPr>
          <w:rFonts w:hint="eastAsia" w:ascii="宋体" w:hAnsi="宋体"/>
          <w:color w:val="000000"/>
          <w:spacing w:val="10"/>
          <w:szCs w:val="21"/>
          <w:highlight w:val="none"/>
          <w:lang w:eastAsia="zh-CN"/>
        </w:rPr>
        <w:t>。</w:t>
      </w:r>
      <w:bookmarkStart w:id="1" w:name="_Hlk190450626"/>
      <w:bookmarkStart w:id="2" w:name="_Hlk190450538"/>
      <w:r>
        <w:rPr>
          <w:rFonts w:hint="eastAsia" w:ascii="宋体" w:hAnsi="宋体"/>
          <w:color w:val="000000"/>
          <w:sz w:val="24"/>
          <w:szCs w:val="24"/>
          <w:highlight w:val="none"/>
        </w:rPr>
        <w:br w:type="page"/>
      </w:r>
    </w:p>
    <w:p w14:paraId="292F36B1">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bookmarkEnd w:id="1"/>
    <w:p w14:paraId="4496DBCA">
      <w:pPr>
        <w:tabs>
          <w:tab w:val="left" w:pos="425"/>
        </w:tabs>
        <w:adjustRightInd w:val="0"/>
        <w:spacing w:line="360" w:lineRule="auto"/>
        <w:ind w:firstLine="480" w:firstLineChars="200"/>
        <w:outlineLvl w:val="1"/>
        <w:rPr>
          <w:rFonts w:ascii="宋体" w:hAnsi="宋体" w:cs="宋体"/>
          <w:snapToGrid w:val="0"/>
          <w:sz w:val="24"/>
          <w:szCs w:val="24"/>
          <w:highlight w:val="none"/>
        </w:rPr>
      </w:pPr>
    </w:p>
    <w:p w14:paraId="00829AAE">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投标人未被“信用中国”网站（www.creditchina.gov.cn）列入失信被执行人、重大税收违法失信主体、政府采购严重违法失信行为记录名单。</w:t>
      </w:r>
    </w:p>
    <w:p w14:paraId="457AF16D">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5E174EA3">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72286C4A">
      <w:pPr>
        <w:spacing w:line="360" w:lineRule="auto"/>
        <w:rPr>
          <w:rFonts w:ascii="宋体" w:hAnsi="宋体" w:cs="宋体"/>
          <w:snapToGrid w:val="0"/>
          <w:sz w:val="24"/>
          <w:szCs w:val="24"/>
          <w:highlight w:val="none"/>
        </w:rPr>
      </w:pPr>
    </w:p>
    <w:p w14:paraId="5CF08951">
      <w:pPr>
        <w:spacing w:line="360" w:lineRule="auto"/>
        <w:rPr>
          <w:rFonts w:ascii="宋体" w:hAnsi="宋体" w:cs="宋体"/>
          <w:b/>
          <w:snapToGrid w:val="0"/>
          <w:sz w:val="24"/>
          <w:szCs w:val="24"/>
          <w:highlight w:val="none"/>
        </w:rPr>
      </w:pPr>
      <w:r>
        <w:rPr>
          <w:rFonts w:hint="eastAsia" w:ascii="宋体" w:hAnsi="宋体" w:cs="宋体"/>
          <w:b/>
          <w:snapToGrid w:val="0"/>
          <w:sz w:val="24"/>
          <w:szCs w:val="24"/>
          <w:highlight w:val="none"/>
        </w:rPr>
        <w:t>“信用中国”网站（www.creditchina.gov.cn）“专项查询”</w:t>
      </w:r>
    </w:p>
    <w:p w14:paraId="002F65AD">
      <w:pPr>
        <w:spacing w:line="360" w:lineRule="auto"/>
        <w:rPr>
          <w:rFonts w:ascii="宋体" w:hAnsi="宋体" w:cs="宋体"/>
          <w:snapToGrid w:val="0"/>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highlight w:val="none"/>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95950" cy="4117340"/>
                    </a:xfrm>
                    <a:prstGeom prst="rect">
                      <a:avLst/>
                    </a:prstGeom>
                  </pic:spPr>
                </pic:pic>
              </a:graphicData>
            </a:graphic>
          </wp:inline>
        </w:drawing>
      </w:r>
    </w:p>
    <w:p w14:paraId="01BC6673">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11BC6442">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“失信被执行人”情况查询记录截图</w:t>
      </w:r>
      <w:r>
        <w:rPr>
          <w:rFonts w:hint="eastAsia" w:ascii="宋体" w:hAnsi="宋体" w:cs="宋体"/>
          <w:b/>
          <w:kern w:val="0"/>
          <w:sz w:val="24"/>
          <w:szCs w:val="24"/>
          <w:highlight w:val="none"/>
        </w:rPr>
        <w:t>（须包含投标人全称、查询结果及查询时间）</w:t>
      </w:r>
    </w:p>
    <w:p w14:paraId="2AFF23B2">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628900"/>
                    </a:xfrm>
                    <a:prstGeom prst="rect">
                      <a:avLst/>
                    </a:prstGeom>
                  </pic:spPr>
                </pic:pic>
              </a:graphicData>
            </a:graphic>
          </wp:inline>
        </w:drawing>
      </w:r>
    </w:p>
    <w:p w14:paraId="1B6B58DC">
      <w:pPr>
        <w:spacing w:line="360" w:lineRule="auto"/>
        <w:rPr>
          <w:rFonts w:ascii="宋体" w:hAnsi="宋体" w:cs="宋体"/>
          <w:sz w:val="24"/>
          <w:szCs w:val="24"/>
          <w:highlight w:val="none"/>
        </w:rPr>
      </w:pPr>
      <w:r>
        <w:rPr>
          <w:highlight w:val="none"/>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3601720"/>
                    </a:xfrm>
                    <a:prstGeom prst="rect">
                      <a:avLst/>
                    </a:prstGeom>
                  </pic:spPr>
                </pic:pic>
              </a:graphicData>
            </a:graphic>
          </wp:inline>
        </w:drawing>
      </w:r>
    </w:p>
    <w:p w14:paraId="197A31E1">
      <w:pPr>
        <w:spacing w:line="360" w:lineRule="auto"/>
        <w:rPr>
          <w:rFonts w:ascii="宋体" w:hAnsi="宋体" w:cs="宋体"/>
          <w:sz w:val="24"/>
          <w:szCs w:val="24"/>
          <w:highlight w:val="none"/>
        </w:rPr>
      </w:pPr>
    </w:p>
    <w:p w14:paraId="47A4BAFF">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49176199">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“重大税收违法失信主体”情况查询记录截图</w:t>
      </w:r>
      <w:r>
        <w:rPr>
          <w:rFonts w:hint="eastAsia" w:ascii="宋体" w:hAnsi="宋体" w:cs="宋体"/>
          <w:b/>
          <w:kern w:val="0"/>
          <w:sz w:val="24"/>
          <w:szCs w:val="24"/>
          <w:highlight w:val="none"/>
        </w:rPr>
        <w:t>（须包含投标人全称、查询结果及查询时间）</w:t>
      </w:r>
    </w:p>
    <w:p w14:paraId="33872F43">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highlight w:val="none"/>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505450" cy="2628900"/>
                    </a:xfrm>
                    <a:prstGeom prst="rect">
                      <a:avLst/>
                    </a:prstGeom>
                  </pic:spPr>
                </pic:pic>
              </a:graphicData>
            </a:graphic>
          </wp:inline>
        </w:drawing>
      </w:r>
    </w:p>
    <w:p w14:paraId="059A040B">
      <w:pPr>
        <w:spacing w:line="360" w:lineRule="auto"/>
        <w:rPr>
          <w:rFonts w:ascii="宋体" w:hAnsi="宋体" w:cs="宋体"/>
          <w:sz w:val="24"/>
          <w:szCs w:val="24"/>
          <w:highlight w:val="none"/>
        </w:rPr>
      </w:pPr>
      <w:r>
        <w:rPr>
          <w:highlight w:val="none"/>
        </w:rPr>
        <w:drawing>
          <wp:inline distT="0" distB="0" distL="0" distR="0">
            <wp:extent cx="5520690" cy="2985770"/>
            <wp:effectExtent l="0" t="0" r="381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2F5EC56C">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5708AF1F">
      <w:pPr>
        <w:spacing w:line="360" w:lineRule="auto"/>
        <w:rPr>
          <w:rFonts w:ascii="宋体" w:hAnsi="宋体" w:cs="宋体"/>
          <w:b/>
          <w:kern w:val="0"/>
          <w:sz w:val="24"/>
          <w:szCs w:val="24"/>
          <w:highlight w:val="none"/>
        </w:rPr>
      </w:pPr>
      <w:r>
        <w:rPr>
          <w:rFonts w:hint="eastAsia" w:ascii="宋体" w:hAnsi="宋体" w:cs="宋体"/>
          <w:b/>
          <w:snapToGrid w:val="0"/>
          <w:sz w:val="24"/>
          <w:szCs w:val="24"/>
          <w:highlight w:val="none"/>
        </w:rPr>
        <w:t>“政府采购严重违法失信行为记录名单”情况查询记录截图</w:t>
      </w:r>
      <w:r>
        <w:rPr>
          <w:rFonts w:hint="eastAsia" w:ascii="宋体" w:hAnsi="宋体" w:cs="宋体"/>
          <w:b/>
          <w:kern w:val="0"/>
          <w:sz w:val="24"/>
          <w:szCs w:val="24"/>
          <w:highlight w:val="none"/>
        </w:rPr>
        <w:t>（须包含投标人全称、查询结果及查询时间）</w:t>
      </w:r>
    </w:p>
    <w:p w14:paraId="3EF3A5DB">
      <w:pPr>
        <w:pStyle w:val="4"/>
        <w:ind w:firstLine="0"/>
        <w:rPr>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5857875" cy="2266950"/>
                    </a:xfrm>
                    <a:prstGeom prst="rect">
                      <a:avLst/>
                    </a:prstGeom>
                  </pic:spPr>
                </pic:pic>
              </a:graphicData>
            </a:graphic>
          </wp:inline>
        </w:drawing>
      </w:r>
    </w:p>
    <w:p w14:paraId="5D793287">
      <w:pPr>
        <w:pStyle w:val="4"/>
        <w:ind w:firstLine="0"/>
        <w:rPr>
          <w:highlight w:val="none"/>
        </w:rPr>
      </w:pPr>
      <w:r>
        <w:rPr>
          <w:highlight w:val="none"/>
        </w:rPr>
        <w:drawing>
          <wp:inline distT="0" distB="0" distL="0" distR="0">
            <wp:extent cx="5890260" cy="317944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26613DDB">
      <w:pPr>
        <w:rPr>
          <w:rFonts w:ascii="宋体" w:hAnsi="宋体"/>
          <w:color w:val="000000"/>
          <w:spacing w:val="10"/>
          <w:sz w:val="24"/>
          <w:szCs w:val="24"/>
          <w:highlight w:val="none"/>
        </w:rPr>
      </w:pPr>
      <w:r>
        <w:rPr>
          <w:rFonts w:ascii="宋体" w:hAnsi="宋体"/>
          <w:color w:val="000000"/>
          <w:spacing w:val="10"/>
          <w:sz w:val="24"/>
          <w:szCs w:val="24"/>
          <w:highlight w:val="none"/>
        </w:rPr>
        <w:br w:type="page"/>
      </w:r>
    </w:p>
    <w:bookmarkEnd w:id="2"/>
    <w:p w14:paraId="04A77357">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17B4225F">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35181D01">
      <w:pPr>
        <w:spacing w:line="460" w:lineRule="exact"/>
        <w:rPr>
          <w:rFonts w:ascii="宋体" w:cs="宋体"/>
          <w:b/>
          <w:bCs/>
          <w:sz w:val="44"/>
          <w:szCs w:val="44"/>
          <w:highlight w:val="none"/>
        </w:rPr>
      </w:pPr>
    </w:p>
    <w:p w14:paraId="72B593B7">
      <w:pPr>
        <w:snapToGrid w:val="0"/>
        <w:spacing w:line="36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u w:val="none"/>
        </w:rPr>
        <w:t>ISO体系咨询与认证服务</w:t>
      </w:r>
      <w:r>
        <w:rPr>
          <w:rFonts w:hint="eastAsia" w:ascii="宋体" w:hAnsi="宋体" w:eastAsia="宋体" w:cs="宋体"/>
          <w:bCs/>
          <w:sz w:val="24"/>
          <w:szCs w:val="24"/>
          <w:highlight w:val="none"/>
        </w:rPr>
        <w:t>采购合同</w:t>
      </w:r>
    </w:p>
    <w:p w14:paraId="0A1FC111">
      <w:pPr>
        <w:snapToGrid w:val="0"/>
        <w:spacing w:line="360" w:lineRule="auto"/>
        <w:jc w:val="both"/>
        <w:rPr>
          <w:rFonts w:hint="eastAsia" w:ascii="宋体" w:hAnsi="宋体" w:eastAsia="宋体" w:cs="宋体"/>
          <w:snapToGrid w:val="0"/>
          <w:spacing w:val="-2"/>
          <w:kern w:val="0"/>
          <w:sz w:val="24"/>
          <w:szCs w:val="24"/>
          <w:highlight w:val="none"/>
        </w:rPr>
      </w:pPr>
    </w:p>
    <w:p w14:paraId="2927984A">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甲方（买方）：上海黄金交易所</w:t>
      </w:r>
    </w:p>
    <w:p w14:paraId="49D60AE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地址：上海市黄浦区中山南路699号</w:t>
      </w:r>
    </w:p>
    <w:p w14:paraId="3AF72C48">
      <w:pPr>
        <w:tabs>
          <w:tab w:val="left" w:pos="414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电话：8621-33189588</w:t>
      </w:r>
    </w:p>
    <w:p w14:paraId="59436FBA">
      <w:pPr>
        <w:tabs>
          <w:tab w:val="left" w:pos="414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传真：8621-33662058</w:t>
      </w:r>
    </w:p>
    <w:p w14:paraId="4E0DD845">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 xml:space="preserve">               </w:t>
      </w:r>
    </w:p>
    <w:p w14:paraId="3CD25D6D">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乙方（卖方）：[乙方名称]</w:t>
      </w:r>
    </w:p>
    <w:p w14:paraId="067A63B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地址：[乙方地址]</w:t>
      </w:r>
    </w:p>
    <w:p w14:paraId="7C9CB55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电话：[乙方电话]</w:t>
      </w:r>
    </w:p>
    <w:p w14:paraId="16BA06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传真：[乙方传真]</w:t>
      </w:r>
    </w:p>
    <w:p w14:paraId="5EFDFA92">
      <w:pPr>
        <w:spacing w:line="360" w:lineRule="auto"/>
        <w:rPr>
          <w:rFonts w:hint="eastAsia" w:ascii="宋体" w:hAnsi="宋体" w:eastAsia="宋体" w:cs="宋体"/>
          <w:b/>
          <w:bCs/>
          <w:sz w:val="24"/>
          <w:szCs w:val="24"/>
          <w:highlight w:val="none"/>
        </w:rPr>
      </w:pPr>
    </w:p>
    <w:p w14:paraId="3FE97089">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为保护本合同各方的合法权益，根据《中华人民共和国民法典》等国家法律法规及规范性文件的规定，并严格遵循招标文件的相关要求，甲方和乙方订立本合同，以兹信守。</w:t>
      </w:r>
    </w:p>
    <w:p w14:paraId="1BC3E448">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合同总金额与明细</w:t>
      </w:r>
    </w:p>
    <w:p w14:paraId="4314D83D">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合同总金额（含税）：</w:t>
      </w:r>
      <w:r>
        <w:rPr>
          <w:rFonts w:hint="eastAsia" w:ascii="宋体" w:hAnsi="宋体" w:eastAsia="宋体" w:cs="宋体"/>
          <w:b/>
          <w:bCs/>
          <w:color w:val="000000"/>
          <w:sz w:val="24"/>
          <w:szCs w:val="24"/>
          <w:highlight w:val="none"/>
          <w:u w:val="single"/>
        </w:rPr>
        <w:t>¥元（大写：人民币元整）</w:t>
      </w:r>
      <w:r>
        <w:rPr>
          <w:rFonts w:hint="eastAsia" w:ascii="宋体" w:hAnsi="宋体" w:eastAsia="宋体" w:cs="宋体"/>
          <w:color w:val="000000"/>
          <w:sz w:val="24"/>
          <w:szCs w:val="24"/>
          <w:highlight w:val="none"/>
        </w:rPr>
        <w:t>。</w:t>
      </w:r>
    </w:p>
    <w:p w14:paraId="3C186EF5">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合同总金额已包含乙方提供服务发生的人员成本、差旅费、食宿费及履行本合同项下义务所需的全部费用，除本合同约定的价格外，乙方不得向甲方要求支付其他费用。</w:t>
      </w:r>
    </w:p>
    <w:p w14:paraId="7314655D">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服务内容（见附件一）</w:t>
      </w:r>
    </w:p>
    <w:p w14:paraId="7AB06E1B">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验收报告及验收结论（见附件二）</w:t>
      </w:r>
    </w:p>
    <w:p w14:paraId="081C5A7C">
      <w:pPr>
        <w:numPr>
          <w:ilvl w:val="0"/>
          <w:numId w:val="18"/>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服务团队（见附件三）</w:t>
      </w:r>
    </w:p>
    <w:p w14:paraId="4A232F4D">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付款方式</w:t>
      </w:r>
    </w:p>
    <w:p w14:paraId="58198987">
      <w:pPr>
        <w:numPr>
          <w:ilvl w:val="0"/>
          <w:numId w:val="19"/>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甲方按照以下付款方式在收到乙方每一笔款项的合法增值税专用发票后</w:t>
      </w:r>
      <w:r>
        <w:rPr>
          <w:rFonts w:hint="eastAsia" w:ascii="宋体" w:hAnsi="宋体" w:eastAsia="宋体" w:cs="宋体"/>
          <w:color w:val="000000"/>
          <w:sz w:val="24"/>
          <w:szCs w:val="24"/>
          <w:highlight w:val="none"/>
          <w:u w:val="single"/>
        </w:rPr>
        <w:t xml:space="preserve"> 30 </w:t>
      </w:r>
      <w:r>
        <w:rPr>
          <w:rFonts w:hint="eastAsia" w:ascii="宋体" w:hAnsi="宋体" w:eastAsia="宋体" w:cs="宋体"/>
          <w:color w:val="000000"/>
          <w:sz w:val="24"/>
          <w:szCs w:val="24"/>
          <w:highlight w:val="none"/>
        </w:rPr>
        <w:t>个工作日内向乙方</w:t>
      </w:r>
      <w:r>
        <w:rPr>
          <w:rFonts w:hint="eastAsia" w:ascii="宋体" w:hAnsi="宋体" w:eastAsia="宋体" w:cs="宋体"/>
          <w:color w:val="000000"/>
          <w:sz w:val="24"/>
          <w:szCs w:val="24"/>
          <w:highlight w:val="none"/>
          <w:u w:val="single"/>
        </w:rPr>
        <w:t xml:space="preserve"> 转账 </w:t>
      </w:r>
      <w:r>
        <w:rPr>
          <w:rFonts w:hint="eastAsia" w:ascii="宋体" w:hAnsi="宋体" w:eastAsia="宋体" w:cs="宋体"/>
          <w:color w:val="000000"/>
          <w:sz w:val="24"/>
          <w:szCs w:val="24"/>
          <w:highlight w:val="none"/>
        </w:rPr>
        <w:t>支付相应金额款项。</w:t>
      </w:r>
    </w:p>
    <w:p w14:paraId="3D58B222">
      <w:pPr>
        <w:numPr>
          <w:ilvl w:val="0"/>
          <w:numId w:val="19"/>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付款方式</w:t>
      </w:r>
    </w:p>
    <w:p w14:paraId="2D3DE058">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27001信息安全管理体系认证，且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6F32382B">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27001信息安全管理体系第一次监督审核，且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3C7BF329">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通过了ISO 9001质量管理体系和ISO 27001信息安全管理体系第二次监督审核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0BC7C6D6">
      <w:pPr>
        <w:numPr>
          <w:ilvl w:val="0"/>
          <w:numId w:val="20"/>
        </w:numPr>
        <w:tabs>
          <w:tab w:val="left" w:pos="840"/>
          <w:tab w:val="clear" w:pos="397"/>
        </w:tabs>
        <w:spacing w:line="580" w:lineRule="exact"/>
        <w:ind w:left="831" w:leftChars="93" w:hanging="636" w:hangingChars="265"/>
        <w:rPr>
          <w:rFonts w:hint="eastAsia" w:ascii="宋体" w:hAnsi="宋体" w:eastAsia="宋体" w:cs="宋体"/>
          <w:sz w:val="24"/>
          <w:szCs w:val="24"/>
          <w:highlight w:val="none"/>
        </w:rPr>
      </w:pPr>
      <w:r>
        <w:rPr>
          <w:rFonts w:hint="eastAsia" w:ascii="宋体" w:hAnsi="宋体" w:eastAsia="宋体" w:cs="宋体"/>
          <w:sz w:val="24"/>
          <w:szCs w:val="24"/>
          <w:highlight w:val="none"/>
        </w:rPr>
        <w:t>在管理体系认证有效期止，且</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提交验收材料，经</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验收通过后，支付合同金额的</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w:t>
      </w:r>
    </w:p>
    <w:p w14:paraId="0CD09B9E">
      <w:pPr>
        <w:pStyle w:val="5"/>
        <w:rPr>
          <w:rFonts w:hint="eastAsia" w:ascii="宋体" w:hAnsi="宋体" w:eastAsia="宋体" w:cs="宋体"/>
          <w:sz w:val="24"/>
          <w:szCs w:val="24"/>
          <w:highlight w:val="none"/>
          <w:lang w:val="en-US"/>
        </w:rPr>
      </w:pPr>
    </w:p>
    <w:p w14:paraId="2BD26120">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甲方账户信息：</w:t>
      </w:r>
    </w:p>
    <w:p w14:paraId="04D0D61B">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单位名称：上海黄金交易所</w:t>
      </w:r>
    </w:p>
    <w:p w14:paraId="3EE1AD5B">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开户银行：工行浦东分行</w:t>
      </w:r>
    </w:p>
    <w:p w14:paraId="5F8BB208">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账号：1001280909000000163</w:t>
      </w:r>
    </w:p>
    <w:p w14:paraId="3EAB43E2">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税号：91310000736228569K</w:t>
      </w:r>
    </w:p>
    <w:p w14:paraId="28FF64B9">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乙方收款信息：</w:t>
      </w:r>
    </w:p>
    <w:p w14:paraId="3FE7C5E4">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单位名称： </w:t>
      </w:r>
    </w:p>
    <w:p w14:paraId="2EF47920">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开户银行： </w:t>
      </w:r>
    </w:p>
    <w:p w14:paraId="7EE0EE6D">
      <w:pPr>
        <w:tabs>
          <w:tab w:val="left" w:pos="540"/>
        </w:tabs>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开户账号：</w:t>
      </w:r>
    </w:p>
    <w:p w14:paraId="23334469">
      <w:pPr>
        <w:pStyle w:val="5"/>
        <w:rPr>
          <w:rFonts w:hint="eastAsia" w:ascii="宋体" w:hAnsi="宋体" w:eastAsia="宋体" w:cs="宋体"/>
          <w:sz w:val="24"/>
          <w:szCs w:val="24"/>
          <w:highlight w:val="none"/>
        </w:rPr>
      </w:pPr>
    </w:p>
    <w:p w14:paraId="660784ED">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0E894789">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双方的义务</w:t>
      </w:r>
    </w:p>
    <w:p w14:paraId="0B1F8ACC">
      <w:pPr>
        <w:numPr>
          <w:ilvl w:val="0"/>
          <w:numId w:val="21"/>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甲方的义务：</w:t>
      </w:r>
    </w:p>
    <w:p w14:paraId="60058CE3">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同意向乙方提供服务所需要的各种方便，诸如使用产品、电话、软件介质（磁带、软磁盘机、刻录盘、U盘和移动硬盘等）、软件程序和数据拷贝（乙方均不得在未经甲方同意的情况下，将上述任何数据和物品带出甲方所在大楼的甲方办公楼层，或者未经甲方书面允许将其中数据拷贝、传输至非甲方所有或控制的媒介，否则甲方有权解除合同并按照本合同第五条第一款约定收取违约金）。</w:t>
      </w:r>
    </w:p>
    <w:p w14:paraId="3E133F1A">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为乙方开展工作安排必要的知情联络人，进行场地和环境安排，该项协助义务以必要和有限为原则。</w:t>
      </w:r>
    </w:p>
    <w:p w14:paraId="41163924">
      <w:pPr>
        <w:numPr>
          <w:ilvl w:val="0"/>
          <w:numId w:val="22"/>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其它按照本合同应当由甲方完成或协助完成的工作。</w:t>
      </w:r>
    </w:p>
    <w:p w14:paraId="6C7440D7">
      <w:pPr>
        <w:numPr>
          <w:ilvl w:val="0"/>
          <w:numId w:val="21"/>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乙方的义务：</w:t>
      </w:r>
    </w:p>
    <w:p w14:paraId="5F842253">
      <w:pPr>
        <w:numPr>
          <w:ilvl w:val="0"/>
          <w:numId w:val="23"/>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乙方应确保按照合同附件</w:t>
      </w:r>
      <w:r>
        <w:rPr>
          <w:rFonts w:hint="eastAsia" w:ascii="宋体" w:hAnsi="宋体" w:eastAsia="宋体" w:cs="宋体"/>
          <w:sz w:val="24"/>
          <w:szCs w:val="24"/>
          <w:highlight w:val="none"/>
          <w:lang w:eastAsia="zh-CN"/>
        </w:rPr>
        <w:t>一</w:t>
      </w:r>
      <w:r>
        <w:rPr>
          <w:rFonts w:hint="eastAsia" w:ascii="宋体" w:hAnsi="宋体" w:eastAsia="宋体" w:cs="宋体"/>
          <w:sz w:val="24"/>
          <w:szCs w:val="24"/>
          <w:highlight w:val="none"/>
        </w:rPr>
        <w:t>中服务条款向甲方提供服务并保证服务质量。乙方应在合同或其附件约定的时间内提供服务，解决问题时间不得超过合同及其附件约定的时间，甲方书面同意延长的除外。乙方未按照本合同及附件的约定提供服务的，视为乙方违约，由乙方承担相应的违约责任。</w:t>
      </w:r>
    </w:p>
    <w:p w14:paraId="7FF0B5A1">
      <w:pPr>
        <w:numPr>
          <w:ilvl w:val="0"/>
          <w:numId w:val="23"/>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其它按照本合同应当由乙方完成或协助完成的工作。</w:t>
      </w:r>
    </w:p>
    <w:p w14:paraId="6637EF4C">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违约责任</w:t>
      </w:r>
    </w:p>
    <w:p w14:paraId="559D676B">
      <w:pPr>
        <w:numPr>
          <w:ilvl w:val="0"/>
          <w:numId w:val="24"/>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乙方违约责任：</w:t>
      </w:r>
    </w:p>
    <w:p w14:paraId="5019ADF9">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乙方逾期履行其所应尽的合同义务或未能按照本合同及附件约定的内容完成服务项目（所供服务与合同及其附件约定不符且 3 个工作日内未能纠正且无法令甲方满意的），视为违约，违约1次，给予提醒，违约2次（含），每次按照合同总金额的1%向甲方支付违约金。此项违约金最高不超过合同总金额的20%。乙方逾期20日仍未能提供服务或者所提供服务无法解决甲方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076B8684">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乙方所提供的服务不满足甲方的服务需求，若甲方同意接受则双方可重新协商合同价款；如果甲方不同意接受，则按照本条第（1）项约定执行合同。</w:t>
      </w:r>
    </w:p>
    <w:p w14:paraId="5CC39A79">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乙方在本项目招标过程中如有参与围标、串标或陪标等舞弊或作假行为的，一经甲方核实则构成违约，乙方应承担本合同合同总金额20%的违约金并返还甲方已支付的全部合同款项。同时，甲方有权解除本合同。若造成甲方其他损失，乙方须进行赔付。</w:t>
      </w:r>
    </w:p>
    <w:p w14:paraId="22179B56">
      <w:pPr>
        <w:numPr>
          <w:ilvl w:val="0"/>
          <w:numId w:val="25"/>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如乙方原因给甲方造成系统瘫痪、数据丢失、数据泄露等损失的，甲方有权解除合同，乙方应返还已收取的服务费，并承担全额赔偿责任。</w:t>
      </w:r>
    </w:p>
    <w:p w14:paraId="757BCD2A">
      <w:pPr>
        <w:numPr>
          <w:ilvl w:val="0"/>
          <w:numId w:val="24"/>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甲方违约责任：</w:t>
      </w:r>
    </w:p>
    <w:p w14:paraId="2D2B60A6">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2BA94B18">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违约金支付：所有一方向另一方支付的违约金须在相应情形发生后10个工作日内支付。乙方违约后甲方收回已支付款项的支付方式照此办理。乙方违约后甲方收回已支付款项的支付方式照此办理，即甲方书面通知解除合同后的20个工作日内，乙方应将甲方已支付的款项返还甲方。</w:t>
      </w:r>
    </w:p>
    <w:p w14:paraId="6448530F">
      <w:pPr>
        <w:numPr>
          <w:ilvl w:val="0"/>
          <w:numId w:val="26"/>
        </w:numPr>
        <w:tabs>
          <w:tab w:val="left" w:pos="420"/>
          <w:tab w:val="clear" w:pos="397"/>
        </w:tabs>
        <w:spacing w:line="580" w:lineRule="exact"/>
        <w:ind w:left="417" w:leftChars="95" w:hanging="218" w:hangingChars="91"/>
        <w:rPr>
          <w:rFonts w:hint="eastAsia" w:ascii="宋体" w:hAnsi="宋体" w:eastAsia="宋体" w:cs="宋体"/>
          <w:sz w:val="24"/>
          <w:szCs w:val="24"/>
          <w:highlight w:val="none"/>
        </w:rPr>
      </w:pPr>
      <w:r>
        <w:rPr>
          <w:rFonts w:hint="eastAsia" w:ascii="宋体" w:hAnsi="宋体" w:eastAsia="宋体" w:cs="宋体"/>
          <w:sz w:val="24"/>
          <w:szCs w:val="24"/>
          <w:highlight w:val="none"/>
        </w:rPr>
        <w:t>在服务过程中，乙方应当做好安全防护工作，如发生乙方人员、甲方人员或第三方人员伤亡、财产损失的，由乙方负责赔偿，与甲方无关。</w:t>
      </w:r>
    </w:p>
    <w:p w14:paraId="42A0D19D">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权利瑕疵担保</w:t>
      </w:r>
    </w:p>
    <w:p w14:paraId="3771AF0E">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合同甲方造成损失的，乙方应给予赔偿。</w:t>
      </w:r>
    </w:p>
    <w:p w14:paraId="0F973C8A">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不可抗力</w:t>
      </w:r>
    </w:p>
    <w:p w14:paraId="3901CF95">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如果由于战争、火灾、水灾、台风、地震等依法视为不可抗力之因素而造成无法按合同约定履行义务时，双方可以免责任，互不承担违约责任。但任何一方应在不可抗力发生后2个工作日内善意、及时地以书面形式通知不知情的另一方，并应于不可抗力发生后20日内向对方出具国家有关机关签署的不可抗力事故证明书。</w:t>
      </w:r>
    </w:p>
    <w:p w14:paraId="09A13A82">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争议解决方式</w:t>
      </w:r>
    </w:p>
    <w:p w14:paraId="724F7F9C">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0035D2E2">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保密</w:t>
      </w:r>
    </w:p>
    <w:p w14:paraId="33419CAF">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5545C93B">
      <w:pPr>
        <w:spacing w:line="5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0F5F7B03">
      <w:pPr>
        <w:pStyle w:val="2"/>
        <w:numPr>
          <w:ilvl w:val="0"/>
          <w:numId w:val="17"/>
        </w:numPr>
        <w:spacing w:line="580" w:lineRule="exact"/>
        <w:ind w:firstLine="0"/>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合同效力及变更</w:t>
      </w:r>
    </w:p>
    <w:p w14:paraId="497F9D31">
      <w:pPr>
        <w:numPr>
          <w:ilvl w:val="0"/>
          <w:numId w:val="27"/>
        </w:numPr>
        <w:tabs>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乙方须无条件配合甲方完成“中国网络安全认证和市场监管大数据中心”的网络安全审查并提供审查所需材料（如需），若未通过网络安全审查，甲方有权解除本合同，并要求乙方退还甲方支付的全部款项。</w:t>
      </w:r>
    </w:p>
    <w:p w14:paraId="5C10EE27">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本合同经双方加盖公章(或合同专用章)并签署日期之日起生效,生效日期为最后签署盖章日期，双方均未签署日期，合同不生效，仅一方签署日期，合同生效日期即为该日期。</w:t>
      </w:r>
    </w:p>
    <w:p w14:paraId="7463B61A">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合同未尽事宜双方应协商解决，必要时可签订补充协议，补充协议作为合同附件与合同正本有同等法律效力。</w:t>
      </w:r>
    </w:p>
    <w:p w14:paraId="38C9CEEB">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特别约定：合同及其附件构成全部合同，合同签订之日起，双方以前或执行本协议过程中所做的任何口头交流、声明或协议等相关文件均告无效。本</w:t>
      </w:r>
      <w:r>
        <w:rPr>
          <w:rFonts w:hint="eastAsia" w:ascii="宋体" w:hAnsi="宋体" w:eastAsia="宋体" w:cs="宋体"/>
          <w:color w:val="000000"/>
          <w:sz w:val="24"/>
          <w:szCs w:val="24"/>
          <w:highlight w:val="none"/>
          <w:lang w:eastAsia="zh-CN"/>
        </w:rPr>
        <w:t>合同</w:t>
      </w:r>
      <w:r>
        <w:rPr>
          <w:rFonts w:hint="eastAsia" w:ascii="宋体" w:hAnsi="宋体" w:eastAsia="宋体" w:cs="宋体"/>
          <w:color w:val="000000"/>
          <w:sz w:val="24"/>
          <w:szCs w:val="24"/>
          <w:highlight w:val="none"/>
        </w:rPr>
        <w:t>任何一方均可提出对本</w:t>
      </w:r>
      <w:r>
        <w:rPr>
          <w:rFonts w:hint="eastAsia" w:ascii="宋体" w:hAnsi="宋体" w:eastAsia="宋体" w:cs="宋体"/>
          <w:color w:val="000000"/>
          <w:sz w:val="24"/>
          <w:szCs w:val="24"/>
          <w:highlight w:val="none"/>
          <w:lang w:eastAsia="zh-CN"/>
        </w:rPr>
        <w:t>合同</w:t>
      </w:r>
      <w:r>
        <w:rPr>
          <w:rFonts w:hint="eastAsia" w:ascii="宋体" w:hAnsi="宋体" w:eastAsia="宋体" w:cs="宋体"/>
          <w:color w:val="000000"/>
          <w:sz w:val="24"/>
          <w:szCs w:val="24"/>
          <w:highlight w:val="none"/>
        </w:rPr>
        <w:t>内容的补充和修订，但是任何补充和修订仅能以</w:t>
      </w:r>
      <w:r>
        <w:rPr>
          <w:rFonts w:hint="eastAsia" w:ascii="宋体" w:hAnsi="宋体" w:eastAsia="宋体" w:cs="宋体"/>
          <w:color w:val="000000"/>
          <w:sz w:val="24"/>
          <w:szCs w:val="24"/>
          <w:highlight w:val="none"/>
          <w:lang w:eastAsia="zh-CN"/>
        </w:rPr>
        <w:t>合同双</w:t>
      </w:r>
      <w:r>
        <w:rPr>
          <w:rFonts w:hint="eastAsia" w:ascii="宋体" w:hAnsi="宋体" w:eastAsia="宋体" w:cs="宋体"/>
          <w:color w:val="000000"/>
          <w:sz w:val="24"/>
          <w:szCs w:val="24"/>
          <w:highlight w:val="none"/>
        </w:rPr>
        <w:t>方盖章的书面文件形式进行，该类文件是本合同的有效组成部分。</w:t>
      </w:r>
    </w:p>
    <w:p w14:paraId="033DD507">
      <w:pPr>
        <w:numPr>
          <w:ilvl w:val="0"/>
          <w:numId w:val="27"/>
        </w:numPr>
        <w:tabs>
          <w:tab w:val="left" w:pos="420"/>
          <w:tab w:val="clear" w:pos="780"/>
        </w:tabs>
        <w:spacing w:before="156" w:line="580" w:lineRule="exact"/>
        <w:ind w:left="420" w:firstLine="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本合同一式肆份，甲乙双方各执贰份，具有同等法律效力。</w:t>
      </w:r>
    </w:p>
    <w:p w14:paraId="327E1AD5">
      <w:pPr>
        <w:numPr>
          <w:ilvl w:val="0"/>
          <w:numId w:val="27"/>
        </w:numPr>
        <w:tabs>
          <w:tab w:val="left" w:pos="420"/>
          <w:tab w:val="clear" w:pos="780"/>
        </w:tabs>
        <w:spacing w:before="156" w:line="580" w:lineRule="exact"/>
        <w:ind w:left="420" w:firstLine="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甲方公告的项目</w:t>
      </w:r>
      <w:r>
        <w:rPr>
          <w:rFonts w:hint="eastAsia" w:ascii="宋体" w:hAnsi="宋体" w:eastAsia="宋体" w:cs="宋体"/>
          <w:color w:val="000000"/>
          <w:sz w:val="24"/>
          <w:szCs w:val="24"/>
          <w:highlight w:val="none"/>
          <w:lang w:eastAsia="zh-CN"/>
        </w:rPr>
        <w:t>采购</w:t>
      </w:r>
      <w:r>
        <w:rPr>
          <w:rFonts w:hint="eastAsia" w:ascii="宋体" w:hAnsi="宋体" w:eastAsia="宋体" w:cs="宋体"/>
          <w:color w:val="000000"/>
          <w:sz w:val="24"/>
          <w:szCs w:val="24"/>
          <w:highlight w:val="none"/>
        </w:rPr>
        <w:t>文件的公示内容及乙方的投标文件作为本合同的一部分，具有同等法律效力。</w:t>
      </w:r>
    </w:p>
    <w:p w14:paraId="44AAC66E">
      <w:pPr>
        <w:tabs>
          <w:tab w:val="left" w:pos="3510"/>
        </w:tabs>
        <w:spacing w:line="580" w:lineRule="exact"/>
        <w:rPr>
          <w:rFonts w:hint="eastAsia" w:ascii="宋体" w:hAnsi="宋体" w:eastAsia="宋体" w:cs="宋体"/>
          <w:b/>
          <w:sz w:val="24"/>
          <w:szCs w:val="24"/>
          <w:highlight w:val="none"/>
        </w:rPr>
      </w:pPr>
    </w:p>
    <w:p w14:paraId="7803E1E5">
      <w:pPr>
        <w:tabs>
          <w:tab w:val="left" w:pos="3510"/>
        </w:tabs>
        <w:spacing w:line="58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甲方：上海黄金交易所（章）               乙方： </w:t>
      </w:r>
      <w:r>
        <w:rPr>
          <w:rFonts w:hint="eastAsia" w:ascii="宋体" w:hAnsi="宋体" w:eastAsia="宋体" w:cs="宋体"/>
          <w:b/>
          <w:sz w:val="24"/>
          <w:szCs w:val="24"/>
          <w:highlight w:val="none"/>
          <w:lang w:val="en-US" w:eastAsia="zh-CN"/>
        </w:rPr>
        <w:t xml:space="preserve"> </w:t>
      </w:r>
      <w:r>
        <w:rPr>
          <w:rFonts w:hint="eastAsia" w:ascii="宋体" w:hAnsi="宋体" w:eastAsia="宋体" w:cs="宋体"/>
          <w:b/>
          <w:sz w:val="24"/>
          <w:szCs w:val="24"/>
          <w:highlight w:val="none"/>
        </w:rPr>
        <w:t>（章）</w:t>
      </w:r>
    </w:p>
    <w:p w14:paraId="26B0E733">
      <w:pPr>
        <w:tabs>
          <w:tab w:val="left" w:pos="3510"/>
        </w:tabs>
        <w:spacing w:line="580" w:lineRule="exact"/>
        <w:rPr>
          <w:rFonts w:hint="eastAsia" w:ascii="宋体" w:hAnsi="宋体" w:eastAsia="宋体" w:cs="宋体"/>
          <w:b/>
          <w:sz w:val="24"/>
          <w:szCs w:val="24"/>
          <w:highlight w:val="none"/>
        </w:rPr>
      </w:pPr>
    </w:p>
    <w:p w14:paraId="56F8EAD5">
      <w:pPr>
        <w:tabs>
          <w:tab w:val="left" w:pos="3510"/>
        </w:tabs>
        <w:spacing w:line="58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日期：     年   月     日                日期：     年    月     日</w:t>
      </w:r>
    </w:p>
    <w:p w14:paraId="2568D03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一</w:t>
      </w:r>
      <w:r>
        <w:rPr>
          <w:rFonts w:hint="eastAsia" w:ascii="宋体" w:hAnsi="宋体" w:eastAsia="宋体" w:cs="宋体"/>
          <w:sz w:val="24"/>
          <w:szCs w:val="24"/>
          <w:highlight w:val="none"/>
        </w:rPr>
        <w:t>：服务内容</w:t>
      </w:r>
    </w:p>
    <w:p w14:paraId="38E2C8C2">
      <w:pPr>
        <w:spacing w:line="360" w:lineRule="auto"/>
        <w:rPr>
          <w:rFonts w:hint="eastAsia" w:ascii="宋体" w:hAnsi="宋体" w:eastAsia="宋体" w:cs="宋体"/>
          <w:strike/>
          <w:sz w:val="24"/>
          <w:szCs w:val="24"/>
          <w:highlight w:val="none"/>
        </w:rPr>
      </w:pPr>
    </w:p>
    <w:p w14:paraId="6E87FC3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：验收报告及验收结论</w:t>
      </w:r>
    </w:p>
    <w:p w14:paraId="6D66C9C1">
      <w:pPr>
        <w:spacing w:line="360" w:lineRule="auto"/>
        <w:rPr>
          <w:rFonts w:hint="eastAsia" w:ascii="宋体" w:hAnsi="宋体" w:eastAsia="宋体" w:cs="宋体"/>
          <w:sz w:val="24"/>
          <w:szCs w:val="24"/>
          <w:highlight w:val="none"/>
        </w:rPr>
      </w:pPr>
    </w:p>
    <w:p w14:paraId="35E845D0">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验收报告</w:t>
      </w:r>
    </w:p>
    <w:p w14:paraId="323DDAB2">
      <w:pPr>
        <w:pStyle w:val="4"/>
        <w:spacing w:line="360" w:lineRule="auto"/>
        <w:rPr>
          <w:rFonts w:hint="eastAsia" w:ascii="宋体" w:hAnsi="宋体" w:eastAsia="宋体" w:cs="宋体"/>
          <w:sz w:val="24"/>
          <w:szCs w:val="24"/>
          <w:highlight w:val="none"/>
        </w:rPr>
      </w:pPr>
    </w:p>
    <w:p w14:paraId="1952BAB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验收阶段（期）                                             第   次验收</w:t>
      </w:r>
    </w:p>
    <w:tbl>
      <w:tblPr>
        <w:tblStyle w:val="8"/>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6904"/>
      </w:tblGrid>
      <w:tr w14:paraId="40E4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8" w:type="dxa"/>
            <w:tcBorders>
              <w:bottom w:val="single" w:color="auto" w:sz="4" w:space="0"/>
              <w:right w:val="single" w:color="auto" w:sz="4" w:space="0"/>
            </w:tcBorders>
            <w:noWrap w:val="0"/>
            <w:vAlign w:val="center"/>
          </w:tcPr>
          <w:p w14:paraId="1F61E679">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033119F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7546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38" w:type="dxa"/>
            <w:tcBorders>
              <w:bottom w:val="single" w:color="auto" w:sz="4" w:space="0"/>
              <w:right w:val="single" w:color="auto" w:sz="4" w:space="0"/>
            </w:tcBorders>
            <w:noWrap w:val="0"/>
            <w:vAlign w:val="center"/>
          </w:tcPr>
          <w:p w14:paraId="08EEA4EE">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081539E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5186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38" w:type="dxa"/>
            <w:tcBorders>
              <w:bottom w:val="single" w:color="auto" w:sz="4" w:space="0"/>
              <w:right w:val="single" w:color="auto" w:sz="4" w:space="0"/>
            </w:tcBorders>
            <w:noWrap w:val="0"/>
            <w:vAlign w:val="center"/>
          </w:tcPr>
          <w:p w14:paraId="515BE8D4">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202F9F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（与相应的验收实施计划（如有）一致）</w:t>
            </w:r>
          </w:p>
        </w:tc>
      </w:tr>
      <w:tr w14:paraId="01BD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2138" w:type="dxa"/>
            <w:tcBorders>
              <w:bottom w:val="single" w:color="auto" w:sz="4" w:space="0"/>
              <w:right w:val="single" w:color="auto" w:sz="4" w:space="0"/>
            </w:tcBorders>
            <w:noWrap w:val="0"/>
            <w:vAlign w:val="center"/>
          </w:tcPr>
          <w:p w14:paraId="460DDA9C">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663A1D7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66E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138" w:type="dxa"/>
            <w:noWrap w:val="0"/>
            <w:vAlign w:val="center"/>
          </w:tcPr>
          <w:p w14:paraId="11771364">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验收结果</w:t>
            </w:r>
          </w:p>
        </w:tc>
        <w:tc>
          <w:tcPr>
            <w:tcW w:w="6904" w:type="dxa"/>
            <w:noWrap w:val="0"/>
            <w:vAlign w:val="center"/>
          </w:tcPr>
          <w:p w14:paraId="04EEA4A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合格/不合格</w:t>
            </w:r>
          </w:p>
          <w:p w14:paraId="7F6DD3F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验收小组成员签字：</w:t>
            </w:r>
          </w:p>
        </w:tc>
      </w:tr>
      <w:tr w14:paraId="28B5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2138" w:type="dxa"/>
            <w:noWrap w:val="0"/>
            <w:vAlign w:val="center"/>
          </w:tcPr>
          <w:p w14:paraId="6557358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供应商现场认定意见</w:t>
            </w:r>
          </w:p>
        </w:tc>
        <w:tc>
          <w:tcPr>
            <w:tcW w:w="6904" w:type="dxa"/>
            <w:noWrap w:val="0"/>
            <w:vAlign w:val="center"/>
          </w:tcPr>
          <w:p w14:paraId="6749A234">
            <w:pPr>
              <w:spacing w:line="360" w:lineRule="auto"/>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认定意见：同意/不同意</w:t>
            </w:r>
          </w:p>
          <w:p w14:paraId="1B4129DA">
            <w:pPr>
              <w:spacing w:line="360" w:lineRule="auto"/>
              <w:ind w:right="-108"/>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法定代表人或其授权代表签字，或加盖公章或验收专用章：</w:t>
            </w:r>
          </w:p>
          <w:p w14:paraId="15613317">
            <w:pPr>
              <w:pStyle w:val="4"/>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2DB3D5B7">
      <w:pPr>
        <w:spacing w:line="360" w:lineRule="auto"/>
        <w:ind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注：可根据实际情况调整内容或另附页，但不得删减关键要素内容。</w:t>
      </w:r>
    </w:p>
    <w:p w14:paraId="43456545">
      <w:pPr>
        <w:spacing w:line="360" w:lineRule="auto"/>
        <w:rPr>
          <w:rFonts w:hint="eastAsia" w:ascii="宋体" w:hAnsi="宋体" w:eastAsia="宋体" w:cs="宋体"/>
          <w:sz w:val="24"/>
          <w:szCs w:val="24"/>
          <w:highlight w:val="none"/>
        </w:rPr>
      </w:pPr>
    </w:p>
    <w:p w14:paraId="3A4FF4B7">
      <w:pPr>
        <w:spacing w:line="360" w:lineRule="auto"/>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b/>
          <w:sz w:val="24"/>
          <w:szCs w:val="24"/>
          <w:highlight w:val="none"/>
        </w:rPr>
        <w:t>验收结论</w:t>
      </w:r>
    </w:p>
    <w:p w14:paraId="3DC226E7">
      <w:pPr>
        <w:pStyle w:val="4"/>
        <w:spacing w:line="360" w:lineRule="auto"/>
        <w:rPr>
          <w:rFonts w:hint="eastAsia" w:ascii="宋体" w:hAnsi="宋体" w:eastAsia="宋体" w:cs="宋体"/>
          <w:sz w:val="24"/>
          <w:szCs w:val="24"/>
          <w:highlight w:val="none"/>
        </w:rPr>
      </w:pPr>
    </w:p>
    <w:p w14:paraId="765FBD9E">
      <w:pP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验收阶段（期）：                                           第   次验收</w:t>
      </w:r>
    </w:p>
    <w:tbl>
      <w:tblPr>
        <w:tblStyle w:val="8"/>
        <w:tblW w:w="883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7112"/>
      </w:tblGrid>
      <w:tr w14:paraId="396E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noWrap w:val="0"/>
            <w:vAlign w:val="center"/>
          </w:tcPr>
          <w:p w14:paraId="6CCA42FE">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采购合同信息</w:t>
            </w:r>
          </w:p>
        </w:tc>
        <w:tc>
          <w:tcPr>
            <w:tcW w:w="7112" w:type="dxa"/>
            <w:noWrap w:val="0"/>
            <w:vAlign w:val="center"/>
          </w:tcPr>
          <w:p w14:paraId="2FFDDD07">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（合同名称等内容）</w:t>
            </w:r>
          </w:p>
        </w:tc>
      </w:tr>
      <w:tr w14:paraId="1CDA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noWrap w:val="0"/>
            <w:vAlign w:val="center"/>
          </w:tcPr>
          <w:p w14:paraId="20A333AF">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验收信息</w:t>
            </w:r>
          </w:p>
        </w:tc>
        <w:tc>
          <w:tcPr>
            <w:tcW w:w="7112" w:type="dxa"/>
            <w:noWrap w:val="0"/>
            <w:vAlign w:val="center"/>
          </w:tcPr>
          <w:p w14:paraId="21E3E192">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（验收时间、验收地点等内容）</w:t>
            </w:r>
          </w:p>
        </w:tc>
      </w:tr>
      <w:tr w14:paraId="560A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noWrap w:val="0"/>
            <w:vAlign w:val="center"/>
          </w:tcPr>
          <w:p w14:paraId="05D1DC88">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验收报告信息</w:t>
            </w:r>
          </w:p>
        </w:tc>
        <w:tc>
          <w:tcPr>
            <w:tcW w:w="7112" w:type="dxa"/>
            <w:noWrap w:val="0"/>
            <w:vAlign w:val="center"/>
          </w:tcPr>
          <w:p w14:paraId="3FA45715">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（验收结果等内容）</w:t>
            </w:r>
          </w:p>
        </w:tc>
      </w:tr>
      <w:tr w14:paraId="0C62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noWrap w:val="0"/>
            <w:vAlign w:val="center"/>
          </w:tcPr>
          <w:p w14:paraId="2693DD13">
            <w:pPr>
              <w:spacing w:line="360" w:lineRule="auto"/>
              <w:ind w:left="-107" w:leftChars="-52" w:right="-108" w:hanging="2"/>
              <w:jc w:val="center"/>
              <w:rPr>
                <w:rFonts w:hint="eastAsia" w:ascii="宋体" w:hAnsi="宋体" w:eastAsia="宋体" w:cs="宋体"/>
                <w:sz w:val="24"/>
                <w:szCs w:val="24"/>
                <w:highlight w:val="none"/>
              </w:rPr>
            </w:pPr>
          </w:p>
          <w:p w14:paraId="79F56873">
            <w:pPr>
              <w:spacing w:line="360" w:lineRule="auto"/>
              <w:ind w:left="-107" w:leftChars="-52" w:right="-108" w:hanging="2"/>
              <w:jc w:val="center"/>
              <w:rPr>
                <w:rFonts w:hint="eastAsia" w:ascii="宋体" w:hAnsi="宋体" w:eastAsia="宋体" w:cs="宋体"/>
                <w:sz w:val="24"/>
                <w:szCs w:val="24"/>
                <w:highlight w:val="none"/>
              </w:rPr>
            </w:pPr>
          </w:p>
          <w:p w14:paraId="599189A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履约执行部门认定意见</w:t>
            </w:r>
          </w:p>
        </w:tc>
        <w:tc>
          <w:tcPr>
            <w:tcW w:w="7112" w:type="dxa"/>
            <w:noWrap w:val="0"/>
            <w:vAlign w:val="top"/>
          </w:tcPr>
          <w:p w14:paraId="59EFCA2D">
            <w:pPr>
              <w:spacing w:line="360" w:lineRule="auto"/>
              <w:ind w:left="-107" w:leftChars="-52" w:right="-108" w:hanging="2"/>
              <w:jc w:val="center"/>
              <w:rPr>
                <w:rFonts w:hint="eastAsia" w:ascii="宋体" w:hAnsi="宋体" w:eastAsia="宋体" w:cs="宋体"/>
                <w:sz w:val="24"/>
                <w:szCs w:val="24"/>
                <w:highlight w:val="none"/>
              </w:rPr>
            </w:pPr>
          </w:p>
          <w:p w14:paraId="04584803">
            <w:pPr>
              <w:spacing w:line="360" w:lineRule="auto"/>
              <w:ind w:left="-107" w:leftChars="-52" w:right="-108" w:hanging="2"/>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（履约执行部门确认验收报告，牵头形成验收结论。验收结论分为合格或不合格。履约执行部门对验收报告有异议的，应说明理由。）</w:t>
            </w:r>
          </w:p>
          <w:p w14:paraId="517F19FB">
            <w:pPr>
              <w:spacing w:line="360" w:lineRule="auto"/>
              <w:ind w:left="-107" w:leftChars="-52" w:right="-108" w:hanging="2"/>
              <w:jc w:val="center"/>
              <w:rPr>
                <w:rFonts w:hint="eastAsia" w:ascii="宋体" w:hAnsi="宋体" w:eastAsia="宋体" w:cs="宋体"/>
                <w:sz w:val="24"/>
                <w:szCs w:val="24"/>
                <w:highlight w:val="none"/>
              </w:rPr>
            </w:pPr>
          </w:p>
          <w:p w14:paraId="639D7D1F">
            <w:pPr>
              <w:spacing w:line="360" w:lineRule="auto"/>
              <w:ind w:left="-107" w:leftChars="-52" w:right="-108" w:hanging="2"/>
              <w:jc w:val="center"/>
              <w:rPr>
                <w:rFonts w:hint="eastAsia" w:ascii="宋体" w:hAnsi="宋体" w:eastAsia="宋体" w:cs="宋体"/>
                <w:sz w:val="24"/>
                <w:szCs w:val="24"/>
                <w:highlight w:val="none"/>
              </w:rPr>
            </w:pPr>
          </w:p>
          <w:p w14:paraId="23EF37A9">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验收结论：验收合格/验收不合格</w:t>
            </w:r>
          </w:p>
          <w:p w14:paraId="762E9481">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79A94A45">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部门负责人签字：         </w:t>
            </w:r>
          </w:p>
          <w:p w14:paraId="56DB0958">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  </w:t>
            </w:r>
          </w:p>
        </w:tc>
      </w:tr>
      <w:tr w14:paraId="429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bottom w:val="single" w:color="auto" w:sz="4" w:space="0"/>
            </w:tcBorders>
            <w:noWrap w:val="0"/>
            <w:vAlign w:val="center"/>
          </w:tcPr>
          <w:p w14:paraId="11A9D311">
            <w:pPr>
              <w:spacing w:line="360" w:lineRule="auto"/>
              <w:ind w:left="-107" w:leftChars="-52" w:right="-108" w:hanging="2"/>
              <w:jc w:val="center"/>
              <w:rPr>
                <w:rFonts w:hint="eastAsia" w:ascii="宋体" w:hAnsi="宋体" w:eastAsia="宋体" w:cs="宋体"/>
                <w:sz w:val="24"/>
                <w:szCs w:val="24"/>
                <w:highlight w:val="none"/>
              </w:rPr>
            </w:pPr>
          </w:p>
          <w:p w14:paraId="451EE3AB">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履约监督部门（人员）复核意见</w:t>
            </w:r>
          </w:p>
        </w:tc>
        <w:tc>
          <w:tcPr>
            <w:tcW w:w="7112" w:type="dxa"/>
            <w:tcBorders>
              <w:bottom w:val="single" w:color="auto" w:sz="4" w:space="0"/>
            </w:tcBorders>
            <w:noWrap w:val="0"/>
            <w:vAlign w:val="top"/>
          </w:tcPr>
          <w:p w14:paraId="58A7E509">
            <w:pPr>
              <w:spacing w:line="360" w:lineRule="auto"/>
              <w:ind w:left="-107" w:leftChars="-52" w:right="-108" w:hanging="2"/>
              <w:jc w:val="center"/>
              <w:rPr>
                <w:rFonts w:hint="eastAsia" w:ascii="宋体" w:hAnsi="宋体" w:eastAsia="宋体" w:cs="宋体"/>
                <w:sz w:val="24"/>
                <w:szCs w:val="24"/>
                <w:highlight w:val="none"/>
              </w:rPr>
            </w:pPr>
          </w:p>
          <w:p w14:paraId="7789C0A8">
            <w:pPr>
              <w:spacing w:line="360" w:lineRule="auto"/>
              <w:ind w:left="-107" w:leftChars="-52" w:right="-108" w:hanging="2"/>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（履约执行部门（人员）在验收后、提请付款前，应将验收报告、验收结论交由履约监督部门（人员）复核。履约监督部门（人员）可在此处直接出具复核意见，也可另行出具书面材料。）</w:t>
            </w:r>
          </w:p>
          <w:p w14:paraId="06B9D1A9">
            <w:pPr>
              <w:spacing w:line="360" w:lineRule="auto"/>
              <w:ind w:left="-107" w:leftChars="-52" w:right="-108" w:hanging="2"/>
              <w:jc w:val="center"/>
              <w:rPr>
                <w:rFonts w:hint="eastAsia" w:ascii="宋体" w:hAnsi="宋体" w:eastAsia="宋体" w:cs="宋体"/>
                <w:sz w:val="24"/>
                <w:szCs w:val="24"/>
                <w:highlight w:val="none"/>
              </w:rPr>
            </w:pPr>
          </w:p>
          <w:p w14:paraId="019DAFA4">
            <w:pPr>
              <w:spacing w:line="360" w:lineRule="auto"/>
              <w:ind w:left="-107" w:leftChars="-52" w:right="-108" w:hanging="2"/>
              <w:jc w:val="center"/>
              <w:rPr>
                <w:rFonts w:hint="eastAsia" w:ascii="宋体" w:hAnsi="宋体" w:eastAsia="宋体" w:cs="宋体"/>
                <w:sz w:val="24"/>
                <w:szCs w:val="24"/>
                <w:highlight w:val="none"/>
              </w:rPr>
            </w:pPr>
          </w:p>
          <w:p w14:paraId="587C5F1F">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验收结论与合同约定一致/不一致</w:t>
            </w:r>
          </w:p>
          <w:p w14:paraId="16883489">
            <w:pPr>
              <w:spacing w:line="360" w:lineRule="auto"/>
              <w:ind w:left="-107" w:leftChars="-52" w:right="-108" w:hanging="2"/>
              <w:jc w:val="center"/>
              <w:rPr>
                <w:rFonts w:hint="eastAsia" w:ascii="宋体" w:hAnsi="宋体" w:eastAsia="宋体" w:cs="宋体"/>
                <w:sz w:val="24"/>
                <w:szCs w:val="24"/>
                <w:highlight w:val="none"/>
              </w:rPr>
            </w:pPr>
          </w:p>
          <w:p w14:paraId="2896EB63">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签字：</w:t>
            </w:r>
          </w:p>
          <w:p w14:paraId="577F51BC">
            <w:pPr>
              <w:spacing w:line="360" w:lineRule="auto"/>
              <w:ind w:left="-107" w:leftChars="-52" w:right="-108" w:hanging="2"/>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 </w:t>
            </w:r>
          </w:p>
        </w:tc>
      </w:tr>
    </w:tbl>
    <w:p w14:paraId="08FFE4BD">
      <w:pPr>
        <w:spacing w:line="360" w:lineRule="auto"/>
        <w:ind w:left="480" w:hanging="480" w:hangingChars="200"/>
        <w:rPr>
          <w:rFonts w:hint="eastAsia" w:ascii="宋体" w:hAnsi="宋体" w:eastAsia="宋体" w:cs="宋体"/>
          <w:sz w:val="24"/>
          <w:szCs w:val="24"/>
          <w:highlight w:val="none"/>
        </w:rPr>
      </w:pPr>
      <w:r>
        <w:rPr>
          <w:rFonts w:hint="eastAsia" w:ascii="宋体" w:hAnsi="宋体" w:eastAsia="宋体" w:cs="宋体"/>
          <w:sz w:val="24"/>
          <w:szCs w:val="24"/>
          <w:highlight w:val="none"/>
        </w:rPr>
        <w:t>注：可根据实际情况调整内容或另附页，但不得删减关键要素内容。</w:t>
      </w:r>
    </w:p>
    <w:p w14:paraId="1A8BCFA3">
      <w:pPr>
        <w:spacing w:line="360" w:lineRule="auto"/>
        <w:rPr>
          <w:rFonts w:hint="eastAsia" w:ascii="宋体" w:hAnsi="宋体" w:eastAsia="宋体" w:cs="宋体"/>
          <w:sz w:val="24"/>
          <w:szCs w:val="24"/>
          <w:highlight w:val="none"/>
        </w:rPr>
      </w:pPr>
    </w:p>
    <w:p w14:paraId="16456BBC">
      <w:pPr>
        <w:spacing w:line="360" w:lineRule="auto"/>
        <w:rPr>
          <w:rFonts w:hint="eastAsia" w:ascii="宋体" w:hAnsi="宋体" w:eastAsia="宋体" w:cs="宋体"/>
          <w:sz w:val="24"/>
          <w:szCs w:val="24"/>
          <w:highlight w:val="none"/>
        </w:rPr>
      </w:pPr>
    </w:p>
    <w:p w14:paraId="6125903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：服务团队</w:t>
      </w:r>
    </w:p>
    <w:sectPr>
      <w:footerReference r:id="rId3" w:type="default"/>
      <w:pgSz w:w="11906" w:h="16838"/>
      <w:pgMar w:top="1440" w:right="924" w:bottom="1440" w:left="1402" w:header="851" w:footer="992" w:gutter="0"/>
      <w:pgNumType w:start="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Futura Bk">
    <w:altName w:val="Century Gothic"/>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11D4">
    <w:pPr>
      <w:pStyle w:val="6"/>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9</w:t>
    </w:r>
    <w:r>
      <w:rPr>
        <w:rFonts w:ascii="宋体" w:hAnsi="宋体"/>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43FA3"/>
    <w:multiLevelType w:val="singleLevel"/>
    <w:tmpl w:val="96043FA3"/>
    <w:lvl w:ilvl="0" w:tentative="0">
      <w:start w:val="1"/>
      <w:numFmt w:val="chineseCounting"/>
      <w:suff w:val="nothing"/>
      <w:lvlText w:val="%1、"/>
      <w:lvlJc w:val="left"/>
      <w:pPr>
        <w:ind w:left="0" w:firstLine="420"/>
      </w:pPr>
      <w:rPr>
        <w:rFonts w:hint="eastAsia"/>
      </w:rPr>
    </w:lvl>
  </w:abstractNum>
  <w:abstractNum w:abstractNumId="1">
    <w:nsid w:val="98EFD15C"/>
    <w:multiLevelType w:val="multilevel"/>
    <w:tmpl w:val="98EFD15C"/>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D8E3F2E4"/>
    <w:multiLevelType w:val="singleLevel"/>
    <w:tmpl w:val="D8E3F2E4"/>
    <w:lvl w:ilvl="0" w:tentative="0">
      <w:start w:val="1"/>
      <w:numFmt w:val="decimal"/>
      <w:suff w:val="nothing"/>
      <w:lvlText w:val="%1、"/>
      <w:lvlJc w:val="left"/>
      <w:rPr>
        <w:rFonts w:hint="default" w:ascii="仿宋" w:hAnsi="仿宋" w:eastAsia="仿宋" w:cs="仿宋"/>
        <w:i w:val="0"/>
        <w:iCs w:val="0"/>
        <w:color w:val="auto"/>
        <w:sz w:val="28"/>
        <w:szCs w:val="28"/>
      </w:rPr>
    </w:lvl>
  </w:abstractNum>
  <w:abstractNum w:abstractNumId="3">
    <w:nsid w:val="F426445C"/>
    <w:multiLevelType w:val="singleLevel"/>
    <w:tmpl w:val="F426445C"/>
    <w:lvl w:ilvl="0" w:tentative="0">
      <w:start w:val="1"/>
      <w:numFmt w:val="decimal"/>
      <w:suff w:val="nothing"/>
      <w:lvlText w:val="%1、"/>
      <w:lvlJc w:val="left"/>
    </w:lvl>
  </w:abstractNum>
  <w:abstractNum w:abstractNumId="4">
    <w:nsid w:val="00000011"/>
    <w:multiLevelType w:val="multilevel"/>
    <w:tmpl w:val="00000011"/>
    <w:lvl w:ilvl="0" w:tentative="0">
      <w:start w:val="1"/>
      <w:numFmt w:val="decimal"/>
      <w:pStyle w:val="2"/>
      <w:lvlText w:val="%1"/>
      <w:lvlJc w:val="left"/>
      <w:pPr>
        <w:tabs>
          <w:tab w:val="left" w:pos="799"/>
        </w:tabs>
        <w:ind w:left="799" w:hanging="432"/>
      </w:pPr>
      <w:rPr>
        <w:rFonts w:hint="eastAsia"/>
      </w:rPr>
    </w:lvl>
    <w:lvl w:ilvl="1" w:tentative="0">
      <w:start w:val="1"/>
      <w:numFmt w:val="decimal"/>
      <w:pStyle w:val="3"/>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5">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6">
    <w:nsid w:val="01E052FF"/>
    <w:multiLevelType w:val="singleLevel"/>
    <w:tmpl w:val="01E052FF"/>
    <w:lvl w:ilvl="0" w:tentative="0">
      <w:start w:val="1"/>
      <w:numFmt w:val="decimal"/>
      <w:lvlText w:val="（%1）"/>
      <w:lvlJc w:val="left"/>
      <w:pPr>
        <w:tabs>
          <w:tab w:val="left" w:pos="397"/>
        </w:tabs>
        <w:ind w:left="454" w:hanging="454"/>
      </w:pPr>
      <w:rPr>
        <w:rFonts w:hint="default"/>
      </w:rPr>
    </w:lvl>
  </w:abstractNum>
  <w:abstractNum w:abstractNumId="7">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14625E9E"/>
    <w:multiLevelType w:val="singleLevel"/>
    <w:tmpl w:val="14625E9E"/>
    <w:lvl w:ilvl="0" w:tentative="0">
      <w:start w:val="1"/>
      <w:numFmt w:val="decimal"/>
      <w:suff w:val="nothing"/>
      <w:lvlText w:val="%1、"/>
      <w:lvlJc w:val="left"/>
      <w:rPr>
        <w:rFonts w:hint="default"/>
        <w:color w:val="auto"/>
      </w:rPr>
    </w:lvl>
  </w:abstractNum>
  <w:abstractNum w:abstractNumId="9">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8BDF5B1"/>
    <w:multiLevelType w:val="singleLevel"/>
    <w:tmpl w:val="18BDF5B1"/>
    <w:lvl w:ilvl="0" w:tentative="0">
      <w:start w:val="1"/>
      <w:numFmt w:val="decimal"/>
      <w:lvlText w:val="（%1）"/>
      <w:lvlJc w:val="left"/>
      <w:pPr>
        <w:tabs>
          <w:tab w:val="left" w:pos="397"/>
        </w:tabs>
        <w:ind w:left="454" w:hanging="454"/>
      </w:pPr>
      <w:rPr>
        <w:rFonts w:hint="default"/>
      </w:rPr>
    </w:lvl>
  </w:abstractNum>
  <w:abstractNum w:abstractNumId="12">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BE0B428"/>
    <w:multiLevelType w:val="singleLevel"/>
    <w:tmpl w:val="1BE0B428"/>
    <w:lvl w:ilvl="0" w:tentative="0">
      <w:start w:val="1"/>
      <w:numFmt w:val="decimal"/>
      <w:lvlText w:val="（%1）"/>
      <w:lvlJc w:val="left"/>
      <w:pPr>
        <w:tabs>
          <w:tab w:val="left" w:pos="397"/>
        </w:tabs>
        <w:ind w:left="454" w:hanging="454"/>
      </w:pPr>
      <w:rPr>
        <w:rFonts w:hint="default"/>
      </w:rPr>
    </w:lvl>
  </w:abstractNum>
  <w:abstractNum w:abstractNumId="14">
    <w:nsid w:val="2FEB7E95"/>
    <w:multiLevelType w:val="multilevel"/>
    <w:tmpl w:val="2FEB7E95"/>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5">
    <w:nsid w:val="36942424"/>
    <w:multiLevelType w:val="singleLevel"/>
    <w:tmpl w:val="36942424"/>
    <w:lvl w:ilvl="0" w:tentative="0">
      <w:start w:val="1"/>
      <w:numFmt w:val="decimal"/>
      <w:lvlText w:val="（%1）"/>
      <w:lvlJc w:val="left"/>
      <w:pPr>
        <w:tabs>
          <w:tab w:val="left" w:pos="397"/>
        </w:tabs>
        <w:ind w:left="454" w:hanging="454"/>
      </w:pPr>
      <w:rPr>
        <w:rFonts w:hint="default"/>
      </w:rPr>
    </w:lvl>
  </w:abstractNum>
  <w:abstractNum w:abstractNumId="16">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412A83C3"/>
    <w:multiLevelType w:val="multilevel"/>
    <w:tmpl w:val="412A83C3"/>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4BAAE2E4"/>
    <w:multiLevelType w:val="singleLevel"/>
    <w:tmpl w:val="4BAAE2E4"/>
    <w:lvl w:ilvl="0" w:tentative="0">
      <w:start w:val="1"/>
      <w:numFmt w:val="decimal"/>
      <w:lvlText w:val="（%1）"/>
      <w:lvlJc w:val="left"/>
      <w:pPr>
        <w:tabs>
          <w:tab w:val="left" w:pos="397"/>
        </w:tabs>
        <w:ind w:left="454" w:hanging="454"/>
      </w:pPr>
      <w:rPr>
        <w:rFonts w:hint="default"/>
      </w:rPr>
    </w:lvl>
  </w:abstractNum>
  <w:abstractNum w:abstractNumId="19">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0">
    <w:nsid w:val="617EAD66"/>
    <w:multiLevelType w:val="singleLevel"/>
    <w:tmpl w:val="617EAD66"/>
    <w:lvl w:ilvl="0" w:tentative="0">
      <w:start w:val="1"/>
      <w:numFmt w:val="decimal"/>
      <w:suff w:val="nothing"/>
      <w:lvlText w:val="%1、"/>
      <w:lvlJc w:val="left"/>
    </w:lvl>
  </w:abstractNum>
  <w:abstractNum w:abstractNumId="21">
    <w:nsid w:val="66BC2B01"/>
    <w:multiLevelType w:val="multilevel"/>
    <w:tmpl w:val="66BC2B01"/>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2">
    <w:nsid w:val="6CA7EB6F"/>
    <w:multiLevelType w:val="multilevel"/>
    <w:tmpl w:val="6CA7EB6F"/>
    <w:lvl w:ilvl="0" w:tentative="0">
      <w:start w:val="1"/>
      <w:numFmt w:val="decimal"/>
      <w:lvlText w:val="%1、"/>
      <w:lvlJc w:val="left"/>
      <w:pPr>
        <w:tabs>
          <w:tab w:val="left" w:pos="780"/>
        </w:tabs>
        <w:ind w:left="780" w:hanging="36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3">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24">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25">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0"/>
  </w:num>
  <w:num w:numId="3">
    <w:abstractNumId w:val="24"/>
  </w:num>
  <w:num w:numId="4">
    <w:abstractNumId w:val="19"/>
  </w:num>
  <w:num w:numId="5">
    <w:abstractNumId w:val="26"/>
  </w:num>
  <w:num w:numId="6">
    <w:abstractNumId w:val="16"/>
  </w:num>
  <w:num w:numId="7">
    <w:abstractNumId w:val="23"/>
  </w:num>
  <w:num w:numId="8">
    <w:abstractNumId w:val="9"/>
  </w:num>
  <w:num w:numId="9">
    <w:abstractNumId w:val="7"/>
  </w:num>
  <w:num w:numId="10">
    <w:abstractNumId w:val="2"/>
  </w:num>
  <w:num w:numId="11">
    <w:abstractNumId w:val="12"/>
  </w:num>
  <w:num w:numId="12">
    <w:abstractNumId w:val="3"/>
  </w:num>
  <w:num w:numId="13">
    <w:abstractNumId w:val="25"/>
  </w:num>
  <w:num w:numId="14">
    <w:abstractNumId w:va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0"/>
  </w:num>
  <w:num w:numId="18">
    <w:abstractNumId w:val="14"/>
  </w:num>
  <w:num w:numId="19">
    <w:abstractNumId w:val="1"/>
  </w:num>
  <w:num w:numId="20">
    <w:abstractNumId w:val="13"/>
  </w:num>
  <w:num w:numId="21">
    <w:abstractNumId w:val="22"/>
  </w:num>
  <w:num w:numId="22">
    <w:abstractNumId w:val="18"/>
  </w:num>
  <w:num w:numId="23">
    <w:abstractNumId w:val="11"/>
  </w:num>
  <w:num w:numId="24">
    <w:abstractNumId w:val="17"/>
  </w:num>
  <w:num w:numId="25">
    <w:abstractNumId w:val="6"/>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F5ABC"/>
    <w:rsid w:val="00047D5A"/>
    <w:rsid w:val="00143B9A"/>
    <w:rsid w:val="0015133A"/>
    <w:rsid w:val="00181051"/>
    <w:rsid w:val="001D12D6"/>
    <w:rsid w:val="001E1A23"/>
    <w:rsid w:val="001E5B16"/>
    <w:rsid w:val="00221D07"/>
    <w:rsid w:val="002573B0"/>
    <w:rsid w:val="002C0188"/>
    <w:rsid w:val="00342719"/>
    <w:rsid w:val="00385DBA"/>
    <w:rsid w:val="00397BC4"/>
    <w:rsid w:val="003A101D"/>
    <w:rsid w:val="00450C19"/>
    <w:rsid w:val="00457F79"/>
    <w:rsid w:val="004A423D"/>
    <w:rsid w:val="005B3CCA"/>
    <w:rsid w:val="005C5308"/>
    <w:rsid w:val="006832DF"/>
    <w:rsid w:val="006B36DB"/>
    <w:rsid w:val="006C7ED1"/>
    <w:rsid w:val="00725ACE"/>
    <w:rsid w:val="00761A50"/>
    <w:rsid w:val="007722FB"/>
    <w:rsid w:val="007C56E7"/>
    <w:rsid w:val="00827C5D"/>
    <w:rsid w:val="00835201"/>
    <w:rsid w:val="008C4FAF"/>
    <w:rsid w:val="00922777"/>
    <w:rsid w:val="009B0DF5"/>
    <w:rsid w:val="00AC5B01"/>
    <w:rsid w:val="00AC7535"/>
    <w:rsid w:val="00B9745E"/>
    <w:rsid w:val="00BD6733"/>
    <w:rsid w:val="00C4032B"/>
    <w:rsid w:val="00C6189B"/>
    <w:rsid w:val="00C912B4"/>
    <w:rsid w:val="00CA0CDF"/>
    <w:rsid w:val="00DD6D0B"/>
    <w:rsid w:val="00DF5ABC"/>
    <w:rsid w:val="00E22B10"/>
    <w:rsid w:val="00E563CB"/>
    <w:rsid w:val="00E651A8"/>
    <w:rsid w:val="00F42D8D"/>
    <w:rsid w:val="00FA3A57"/>
    <w:rsid w:val="00FC7144"/>
    <w:rsid w:val="00FF10FF"/>
    <w:rsid w:val="00FF236E"/>
    <w:rsid w:val="01C74429"/>
    <w:rsid w:val="02AC4202"/>
    <w:rsid w:val="036363D4"/>
    <w:rsid w:val="037A11E6"/>
    <w:rsid w:val="03CE35CB"/>
    <w:rsid w:val="04C64E6C"/>
    <w:rsid w:val="04F25E04"/>
    <w:rsid w:val="051B19DC"/>
    <w:rsid w:val="0569077C"/>
    <w:rsid w:val="071E00DF"/>
    <w:rsid w:val="07CE7150"/>
    <w:rsid w:val="08BC0A60"/>
    <w:rsid w:val="09187C60"/>
    <w:rsid w:val="0A565C1B"/>
    <w:rsid w:val="0C9B6BDE"/>
    <w:rsid w:val="0C9F5B9F"/>
    <w:rsid w:val="0D607D98"/>
    <w:rsid w:val="0EF95E3E"/>
    <w:rsid w:val="138D0FC6"/>
    <w:rsid w:val="13D4077E"/>
    <w:rsid w:val="140223AD"/>
    <w:rsid w:val="1424570B"/>
    <w:rsid w:val="16B80E68"/>
    <w:rsid w:val="17EC6540"/>
    <w:rsid w:val="196071E6"/>
    <w:rsid w:val="1989644B"/>
    <w:rsid w:val="1A0E7210"/>
    <w:rsid w:val="1A530AF8"/>
    <w:rsid w:val="1C901B90"/>
    <w:rsid w:val="1D594678"/>
    <w:rsid w:val="1D94088B"/>
    <w:rsid w:val="204C4020"/>
    <w:rsid w:val="240A3197"/>
    <w:rsid w:val="24887BCD"/>
    <w:rsid w:val="250F386E"/>
    <w:rsid w:val="258403C0"/>
    <w:rsid w:val="2593624D"/>
    <w:rsid w:val="262D66A1"/>
    <w:rsid w:val="267F0AD4"/>
    <w:rsid w:val="27A6495D"/>
    <w:rsid w:val="286774A7"/>
    <w:rsid w:val="293B7327"/>
    <w:rsid w:val="298A7E11"/>
    <w:rsid w:val="2CEC4A39"/>
    <w:rsid w:val="2F6C023B"/>
    <w:rsid w:val="30134B5A"/>
    <w:rsid w:val="30436200"/>
    <w:rsid w:val="31755B13"/>
    <w:rsid w:val="31EE13DB"/>
    <w:rsid w:val="32470AEB"/>
    <w:rsid w:val="326C67A3"/>
    <w:rsid w:val="32957AA8"/>
    <w:rsid w:val="33B977C6"/>
    <w:rsid w:val="33CD3272"/>
    <w:rsid w:val="33FA42C8"/>
    <w:rsid w:val="3410140C"/>
    <w:rsid w:val="35011425"/>
    <w:rsid w:val="354B08F2"/>
    <w:rsid w:val="35AF6C23"/>
    <w:rsid w:val="36C070BE"/>
    <w:rsid w:val="37BA21D5"/>
    <w:rsid w:val="38E05645"/>
    <w:rsid w:val="390E38AA"/>
    <w:rsid w:val="39F257E0"/>
    <w:rsid w:val="3A3E6C77"/>
    <w:rsid w:val="3B507D11"/>
    <w:rsid w:val="3BD17677"/>
    <w:rsid w:val="3C131A3E"/>
    <w:rsid w:val="3C8A7F52"/>
    <w:rsid w:val="406212F8"/>
    <w:rsid w:val="41913B31"/>
    <w:rsid w:val="41C757A4"/>
    <w:rsid w:val="41DA54D8"/>
    <w:rsid w:val="44DA0ED2"/>
    <w:rsid w:val="462A4554"/>
    <w:rsid w:val="490D5784"/>
    <w:rsid w:val="49ED368F"/>
    <w:rsid w:val="4AA71768"/>
    <w:rsid w:val="4B4B2FA2"/>
    <w:rsid w:val="4B814C16"/>
    <w:rsid w:val="4BCB40E3"/>
    <w:rsid w:val="4C0D64AA"/>
    <w:rsid w:val="4CC56F89"/>
    <w:rsid w:val="4D5D1FB3"/>
    <w:rsid w:val="4EC31D1A"/>
    <w:rsid w:val="5011279B"/>
    <w:rsid w:val="52522E68"/>
    <w:rsid w:val="52C91F82"/>
    <w:rsid w:val="555831C2"/>
    <w:rsid w:val="577E025B"/>
    <w:rsid w:val="5A04713E"/>
    <w:rsid w:val="5A4B6B1B"/>
    <w:rsid w:val="5B046A09"/>
    <w:rsid w:val="5B4621D0"/>
    <w:rsid w:val="5E7877B0"/>
    <w:rsid w:val="5EB51518"/>
    <w:rsid w:val="5ED4054D"/>
    <w:rsid w:val="5FA14FE9"/>
    <w:rsid w:val="602C2F4B"/>
    <w:rsid w:val="602E1553"/>
    <w:rsid w:val="627666FF"/>
    <w:rsid w:val="627A19DB"/>
    <w:rsid w:val="63BA6ABF"/>
    <w:rsid w:val="6436006D"/>
    <w:rsid w:val="65002574"/>
    <w:rsid w:val="65921AA2"/>
    <w:rsid w:val="674E7C4A"/>
    <w:rsid w:val="68693922"/>
    <w:rsid w:val="694145F4"/>
    <w:rsid w:val="69F745C9"/>
    <w:rsid w:val="6A464C09"/>
    <w:rsid w:val="6A6B5D4F"/>
    <w:rsid w:val="6B080A49"/>
    <w:rsid w:val="6B9F6CC6"/>
    <w:rsid w:val="6DE44E65"/>
    <w:rsid w:val="6E4B4EE4"/>
    <w:rsid w:val="6ECB4B3D"/>
    <w:rsid w:val="70215786"/>
    <w:rsid w:val="71A14E1F"/>
    <w:rsid w:val="71A952E7"/>
    <w:rsid w:val="761B163F"/>
    <w:rsid w:val="76A32BC6"/>
    <w:rsid w:val="787119EB"/>
    <w:rsid w:val="79305402"/>
    <w:rsid w:val="7AB756AF"/>
    <w:rsid w:val="7D296E49"/>
    <w:rsid w:val="7F906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uiPriority w:val="0"/>
    <w:pPr>
      <w:keepNext/>
      <w:numPr>
        <w:ilvl w:val="0"/>
        <w:numId w:val="1"/>
      </w:numPr>
      <w:spacing w:before="240" w:after="60"/>
      <w:outlineLvl w:val="0"/>
    </w:pPr>
    <w:rPr>
      <w:rFonts w:ascii="Futura Bk" w:hAnsi="Futura Bk"/>
      <w:b/>
      <w:kern w:val="28"/>
      <w:sz w:val="28"/>
    </w:rPr>
  </w:style>
  <w:style w:type="paragraph" w:styleId="3">
    <w:name w:val="heading 2"/>
    <w:basedOn w:val="1"/>
    <w:next w:val="1"/>
    <w:link w:val="12"/>
    <w:qFormat/>
    <w:uiPriority w:val="0"/>
    <w:pPr>
      <w:keepNext/>
      <w:numPr>
        <w:ilvl w:val="1"/>
        <w:numId w:val="1"/>
      </w:numPr>
      <w:spacing w:before="240" w:after="60"/>
      <w:outlineLvl w:val="1"/>
    </w:pPr>
    <w:rPr>
      <w:rFonts w:ascii="Futura Bk" w:hAnsi="Futura Bk"/>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style>
  <w:style w:type="paragraph" w:styleId="5">
    <w:name w:val="Body Text"/>
    <w:basedOn w:val="1"/>
    <w:qFormat/>
    <w:uiPriority w:val="0"/>
    <w:pPr>
      <w:tabs>
        <w:tab w:val="left" w:pos="0"/>
      </w:tabs>
      <w:autoSpaceDE w:val="0"/>
      <w:spacing w:line="360" w:lineRule="auto"/>
    </w:pPr>
    <w:rPr>
      <w:rFonts w:ascii="宋体" w:hAnsi="宋体"/>
      <w:sz w:val="24"/>
      <w:lang w:val="zh-CN"/>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563C1"/>
      <w:u w:val="single"/>
    </w:rPr>
  </w:style>
  <w:style w:type="character" w:customStyle="1" w:styleId="11">
    <w:name w:val="标题 1 字符"/>
    <w:basedOn w:val="9"/>
    <w:link w:val="2"/>
    <w:qFormat/>
    <w:uiPriority w:val="0"/>
    <w:rPr>
      <w:rFonts w:ascii="Futura Bk" w:hAnsi="Futura Bk" w:eastAsia="宋体" w:cs="Times New Roman"/>
      <w:b/>
      <w:kern w:val="28"/>
      <w:sz w:val="28"/>
    </w:rPr>
  </w:style>
  <w:style w:type="character" w:customStyle="1" w:styleId="12">
    <w:name w:val="标题 2 字符"/>
    <w:basedOn w:val="9"/>
    <w:link w:val="3"/>
    <w:qFormat/>
    <w:uiPriority w:val="0"/>
    <w:rPr>
      <w:rFonts w:ascii="Futura Bk" w:hAnsi="Futura Bk" w:eastAsia="宋体" w:cs="Times New Roman"/>
      <w:b/>
      <w:sz w:val="24"/>
    </w:rPr>
  </w:style>
  <w:style w:type="character" w:customStyle="1" w:styleId="13">
    <w:name w:val="页脚 字符"/>
    <w:basedOn w:val="9"/>
    <w:link w:val="6"/>
    <w:qFormat/>
    <w:uiPriority w:val="99"/>
    <w:rPr>
      <w:rFonts w:ascii="Calibri" w:hAnsi="Calibri" w:eastAsia="宋体" w:cs="Times New Roman"/>
      <w:sz w:val="18"/>
      <w:szCs w:val="18"/>
    </w:rPr>
  </w:style>
  <w:style w:type="character" w:customStyle="1" w:styleId="14">
    <w:name w:val="列表段落 字符"/>
    <w:link w:val="15"/>
    <w:qFormat/>
    <w:uiPriority w:val="34"/>
    <w:rPr>
      <w:rFonts w:ascii="Times New Roman" w:hAnsi="Times New Roman" w:eastAsia="宋体" w:cs="Times New Roman"/>
      <w:spacing w:val="-2"/>
      <w:kern w:val="0"/>
      <w:sz w:val="24"/>
      <w:szCs w:val="20"/>
    </w:rPr>
  </w:style>
  <w:style w:type="paragraph" w:styleId="15">
    <w:name w:val="List Paragraph"/>
    <w:basedOn w:val="1"/>
    <w:link w:val="14"/>
    <w:qFormat/>
    <w:uiPriority w:val="34"/>
    <w:pPr>
      <w:snapToGrid w:val="0"/>
      <w:ind w:firstLine="420" w:firstLineChars="200"/>
    </w:pPr>
    <w:rPr>
      <w:rFonts w:ascii="Times New Roman" w:hAnsi="Times New Roman"/>
      <w:spacing w:val="-2"/>
      <w:kern w:val="0"/>
      <w:sz w:val="24"/>
      <w:szCs w:val="20"/>
    </w:rPr>
  </w:style>
  <w:style w:type="paragraph" w:customStyle="1" w:styleId="16">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7">
    <w:name w:val="页眉 字符"/>
    <w:basedOn w:val="9"/>
    <w:link w:val="7"/>
    <w:qFormat/>
    <w:uiPriority w:val="99"/>
    <w:rPr>
      <w:rFonts w:ascii="Calibri" w:hAnsi="Calibri" w:eastAsia="宋体" w:cs="Times New Roman"/>
      <w:sz w:val="18"/>
      <w:szCs w:val="18"/>
    </w:rPr>
  </w:style>
  <w:style w:type="paragraph" w:customStyle="1" w:styleId="18">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839</Words>
  <Characters>4786</Characters>
  <Lines>39</Lines>
  <Paragraphs>11</Paragraphs>
  <TotalTime>1</TotalTime>
  <ScaleCrop>false</ScaleCrop>
  <LinksUpToDate>false</LinksUpToDate>
  <CharactersWithSpaces>5614</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dcterms:modified xsi:type="dcterms:W3CDTF">2026-03-19T01:14:04Z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6C66AAF88F0A40DE87017ECE7DD3138B_12</vt:lpwstr>
  </property>
</Properties>
</file>