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75FA7">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上海黄金交易所翻译服务竞争性磋商采购文件</w:t>
      </w:r>
    </w:p>
    <w:p w14:paraId="3F942061">
      <w:pPr>
        <w:spacing w:line="360" w:lineRule="auto"/>
        <w:ind w:left="-720" w:firstLine="720"/>
        <w:jc w:val="center"/>
        <w:rPr>
          <w:rFonts w:ascii="宋体" w:hAnsi="宋体"/>
          <w:b/>
          <w:snapToGrid w:val="0"/>
          <w:spacing w:val="-2"/>
          <w:kern w:val="0"/>
          <w:sz w:val="36"/>
          <w:szCs w:val="20"/>
          <w:highlight w:val="none"/>
        </w:rPr>
      </w:pPr>
    </w:p>
    <w:p w14:paraId="524D23D4">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43A78AD5">
      <w:pPr>
        <w:pStyle w:val="14"/>
        <w:numPr>
          <w:ilvl w:val="0"/>
          <w:numId w:val="2"/>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项目名称：翻译服务</w:t>
      </w:r>
    </w:p>
    <w:p w14:paraId="310F4577">
      <w:pPr>
        <w:pStyle w:val="14"/>
        <w:numPr>
          <w:ilvl w:val="0"/>
          <w:numId w:val="2"/>
        </w:numPr>
        <w:autoSpaceDE w:val="0"/>
        <w:autoSpaceDN w:val="0"/>
        <w:adjustRightInd w:val="0"/>
        <w:spacing w:line="360" w:lineRule="auto"/>
        <w:ind w:firstLineChars="0"/>
        <w:rPr>
          <w:rFonts w:hint="eastAsia" w:ascii="宋体" w:hAns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p>
    <w:p w14:paraId="2B6C6EF1">
      <w:pPr>
        <w:pStyle w:val="14"/>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投标金额：小于人民币</w:t>
      </w:r>
      <w:r>
        <w:rPr>
          <w:rFonts w:hint="eastAsia" w:ascii="宋体" w:hAnsi="宋体" w:cs="宋体"/>
          <w:color w:val="000000"/>
          <w:szCs w:val="24"/>
          <w:highlight w:val="none"/>
          <w:lang w:val="en-US" w:eastAsia="zh-CN"/>
        </w:rPr>
        <w:t>58</w:t>
      </w:r>
      <w:r>
        <w:rPr>
          <w:rFonts w:hint="eastAsia" w:ascii="宋体" w:hAnsi="宋体" w:cs="宋体"/>
          <w:color w:val="000000"/>
          <w:szCs w:val="24"/>
          <w:highlight w:val="none"/>
        </w:rPr>
        <w:t>万元（含税）</w:t>
      </w:r>
      <w:r>
        <w:rPr>
          <w:rFonts w:hint="eastAsia" w:ascii="宋体" w:hAnsi="宋体" w:cs="宋体"/>
          <w:color w:val="000000"/>
          <w:szCs w:val="24"/>
          <w:highlight w:val="none"/>
          <w:lang w:eastAsia="zh-CN"/>
        </w:rPr>
        <w:t>，其中，</w:t>
      </w:r>
      <w:r>
        <w:rPr>
          <w:rFonts w:hint="eastAsia" w:ascii="宋体" w:hAnsi="宋体" w:cs="宋体"/>
          <w:color w:val="000000"/>
          <w:szCs w:val="24"/>
          <w:highlight w:val="none"/>
        </w:rPr>
        <w:t>中译英翻译服务每千字不高于1000元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英译中翻译服务每千字不高于800元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中译俄翻译服务每千字不高于1000元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中译阿拉伯语翻译服务每千字不高于1000元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中译葡萄牙语翻译服务每千字不高于1000元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中译土耳其语翻译服务每千字不高于1000元</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中译印尼语翻译服务每千字不高于1000元。投标金额包含投标人为提供本合同项下所有服务所涉及到的所有费用，如税费等。</w:t>
      </w:r>
    </w:p>
    <w:p w14:paraId="43B4CE7B">
      <w:pPr>
        <w:pStyle w:val="14"/>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11600</w:t>
      </w:r>
      <w:r>
        <w:rPr>
          <w:rFonts w:hint="eastAsia" w:ascii="宋体" w:hAnsi="宋体" w:cs="宋体"/>
          <w:color w:val="000000"/>
          <w:szCs w:val="24"/>
          <w:highlight w:val="none"/>
        </w:rPr>
        <w:t>元。</w:t>
      </w:r>
    </w:p>
    <w:p w14:paraId="6B706598">
      <w:pPr>
        <w:pStyle w:val="14"/>
        <w:numPr>
          <w:ilvl w:val="0"/>
          <w:numId w:val="2"/>
        </w:numPr>
        <w:autoSpaceDE w:val="0"/>
        <w:autoSpaceDN w:val="0"/>
        <w:adjustRightInd w:val="0"/>
        <w:spacing w:line="360" w:lineRule="auto"/>
        <w:ind w:firstLineChars="0"/>
        <w:rPr>
          <w:rFonts w:ascii="宋体" w:hAnsi="宋体" w:cs="宋体"/>
          <w:color w:val="000000"/>
          <w:szCs w:val="24"/>
          <w:highlight w:val="none"/>
        </w:rPr>
      </w:pPr>
      <w:r>
        <w:rPr>
          <w:rFonts w:ascii="宋体" w:hAnsi="宋体" w:cs="宋体"/>
          <w:color w:val="000000"/>
          <w:szCs w:val="24"/>
          <w:highlight w:val="none"/>
        </w:rPr>
        <w:t>中标方式：</w:t>
      </w:r>
      <w:r>
        <w:rPr>
          <w:rFonts w:hint="eastAsia" w:ascii="宋体" w:hAnsi="宋体" w:cs="宋体"/>
          <w:color w:val="000000"/>
          <w:szCs w:val="24"/>
          <w:highlight w:val="none"/>
        </w:rPr>
        <w:t>本项目采用竞争性磋商方式采购。</w:t>
      </w:r>
      <w:r>
        <w:rPr>
          <w:rFonts w:hint="eastAsia" w:ascii="宋体" w:hAnsi="宋体" w:cs="宋体"/>
          <w:szCs w:val="24"/>
          <w:highlight w:val="none"/>
        </w:rPr>
        <w:t>根据本采购文件“评分</w:t>
      </w:r>
      <w:r>
        <w:rPr>
          <w:rFonts w:ascii="宋体" w:hAnsi="宋体" w:cs="宋体"/>
          <w:szCs w:val="24"/>
          <w:highlight w:val="none"/>
        </w:rPr>
        <w:t>标准”</w:t>
      </w:r>
      <w:r>
        <w:rPr>
          <w:rFonts w:hint="eastAsia" w:ascii="宋体" w:hAnsi="宋体" w:cs="宋体"/>
          <w:szCs w:val="24"/>
          <w:highlight w:val="none"/>
        </w:rPr>
        <w:t>对</w:t>
      </w:r>
      <w:r>
        <w:rPr>
          <w:rFonts w:ascii="宋体" w:hAnsi="宋体" w:cs="宋体"/>
          <w:szCs w:val="24"/>
          <w:highlight w:val="none"/>
        </w:rPr>
        <w:t>各</w:t>
      </w:r>
      <w:r>
        <w:rPr>
          <w:rFonts w:hint="eastAsia" w:ascii="宋体" w:hAnsi="宋体" w:cs="宋体"/>
          <w:szCs w:val="24"/>
          <w:highlight w:val="none"/>
        </w:rPr>
        <w:t>投标文件</w:t>
      </w:r>
      <w:r>
        <w:rPr>
          <w:rFonts w:ascii="宋体" w:hAnsi="宋体" w:cs="宋体"/>
          <w:szCs w:val="24"/>
          <w:highlight w:val="none"/>
        </w:rPr>
        <w:t>进行评分，</w:t>
      </w:r>
      <w:r>
        <w:rPr>
          <w:rFonts w:hint="eastAsia" w:ascii="宋体" w:hAnsi="宋体" w:cs="宋体"/>
          <w:szCs w:val="24"/>
          <w:highlight w:val="none"/>
        </w:rPr>
        <w:t>总分</w:t>
      </w:r>
      <w:r>
        <w:rPr>
          <w:rFonts w:ascii="宋体" w:hAnsi="宋体" w:cs="宋体"/>
          <w:szCs w:val="24"/>
          <w:highlight w:val="none"/>
        </w:rPr>
        <w:t>最高</w:t>
      </w:r>
      <w:r>
        <w:rPr>
          <w:rFonts w:hint="eastAsia" w:ascii="宋体" w:hAnsi="宋体" w:cs="宋体"/>
          <w:szCs w:val="24"/>
          <w:highlight w:val="none"/>
        </w:rPr>
        <w:t>的投标人为第一</w:t>
      </w:r>
      <w:r>
        <w:rPr>
          <w:rFonts w:ascii="宋体" w:hAnsi="宋体" w:cs="宋体"/>
          <w:szCs w:val="24"/>
          <w:highlight w:val="none"/>
        </w:rPr>
        <w:t>中标候选人</w:t>
      </w:r>
      <w:r>
        <w:rPr>
          <w:rFonts w:hint="eastAsia" w:ascii="宋体" w:hAnsi="宋体" w:cs="宋体"/>
          <w:szCs w:val="24"/>
          <w:highlight w:val="none"/>
        </w:rPr>
        <w:t>；出现得分并列时，以投标价格较低的投标人为中标人，价格相同的则由评标委员会随机抽取中标候选人推荐中标。</w:t>
      </w:r>
    </w:p>
    <w:p w14:paraId="31C49712">
      <w:pPr>
        <w:pStyle w:val="14"/>
        <w:numPr>
          <w:ilvl w:val="0"/>
          <w:numId w:val="2"/>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1E719997">
      <w:pPr>
        <w:autoSpaceDE w:val="0"/>
        <w:autoSpaceDN w:val="0"/>
        <w:adjustRightInd w:val="0"/>
        <w:spacing w:line="360" w:lineRule="auto"/>
        <w:ind w:left="480"/>
        <w:rPr>
          <w:rFonts w:ascii="宋体" w:hAnsi="宋体" w:cs="宋体"/>
          <w:color w:val="000000"/>
          <w:szCs w:val="24"/>
          <w:highlight w:val="none"/>
        </w:rPr>
      </w:pPr>
    </w:p>
    <w:p w14:paraId="0FF35B65">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1C6C644F">
      <w:pPr>
        <w:pStyle w:val="14"/>
        <w:numPr>
          <w:ilvl w:val="0"/>
          <w:numId w:val="3"/>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632B024B">
      <w:pPr>
        <w:pStyle w:val="14"/>
        <w:numPr>
          <w:ilvl w:val="0"/>
          <w:numId w:val="3"/>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55F08CB6">
      <w:pPr>
        <w:pStyle w:val="14"/>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570124BC">
      <w:pPr>
        <w:pStyle w:val="14"/>
        <w:spacing w:line="360" w:lineRule="auto"/>
        <w:ind w:left="843" w:firstLine="0" w:firstLineChars="0"/>
        <w:rPr>
          <w:rFonts w:ascii="宋体" w:hAnsi="宋体"/>
          <w:highlight w:val="none"/>
        </w:rPr>
      </w:pPr>
      <w:r>
        <w:rPr>
          <w:rFonts w:hint="eastAsia" w:ascii="宋体" w:hAnsi="宋体"/>
          <w:highlight w:val="none"/>
        </w:rPr>
        <w:t>①“失信被执行人”情况查询记录截图（须包含投标人全称、查询结果及查询时间）</w:t>
      </w:r>
    </w:p>
    <w:p w14:paraId="4E342A21">
      <w:pPr>
        <w:pStyle w:val="14"/>
        <w:spacing w:line="360" w:lineRule="auto"/>
        <w:ind w:left="843" w:firstLine="0" w:firstLineChars="0"/>
        <w:rPr>
          <w:rFonts w:ascii="宋体" w:hAnsi="宋体"/>
          <w:highlight w:val="none"/>
        </w:rPr>
      </w:pPr>
      <w:r>
        <w:rPr>
          <w:rFonts w:hint="eastAsia" w:ascii="宋体" w:hAnsi="宋体"/>
          <w:highlight w:val="none"/>
        </w:rPr>
        <w:t>②“重大税收违法失信主体”情况查询记录截图（须包含投标人全称、查询结果及查询时间）</w:t>
      </w:r>
    </w:p>
    <w:p w14:paraId="0176BD3A">
      <w:pPr>
        <w:pStyle w:val="14"/>
        <w:spacing w:line="360" w:lineRule="auto"/>
        <w:ind w:left="843" w:firstLine="0" w:firstLineChars="0"/>
        <w:rPr>
          <w:rFonts w:ascii="宋体" w:hAnsi="宋体"/>
          <w:highlight w:val="none"/>
        </w:rPr>
      </w:pPr>
      <w:r>
        <w:rPr>
          <w:rFonts w:hint="eastAsia" w:ascii="宋体" w:hAnsi="宋体"/>
          <w:highlight w:val="none"/>
        </w:rPr>
        <w:t>③“政府采购严重违法失信行为记录名单”情况查询记录截图（须包含投标人全称、查询结果及查询时间）</w:t>
      </w:r>
    </w:p>
    <w:p w14:paraId="2341AE7C">
      <w:pPr>
        <w:pStyle w:val="14"/>
        <w:numPr>
          <w:ilvl w:val="0"/>
          <w:numId w:val="3"/>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6B3C44C9">
      <w:pPr>
        <w:pStyle w:val="14"/>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2C49BEFD">
      <w:pPr>
        <w:pStyle w:val="14"/>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78BB5AD4">
      <w:pPr>
        <w:pStyle w:val="14"/>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5CA62D8A">
      <w:pPr>
        <w:pStyle w:val="14"/>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1EC84571">
      <w:pPr>
        <w:pStyle w:val="14"/>
        <w:numPr>
          <w:ilvl w:val="0"/>
          <w:numId w:val="3"/>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11D912AE">
      <w:pPr>
        <w:pStyle w:val="14"/>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12CEBA38">
      <w:pPr>
        <w:pStyle w:val="14"/>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07D58235">
      <w:pPr>
        <w:pStyle w:val="14"/>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07426DC6">
      <w:pPr>
        <w:pStyle w:val="14"/>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1621CE74">
      <w:pPr>
        <w:pStyle w:val="14"/>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69A36CB7">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371AB3AE">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67CADA51">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6D55E941">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516ACB10">
      <w:pPr>
        <w:pStyle w:val="14"/>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36A1D488">
      <w:pPr>
        <w:numPr>
          <w:ilvl w:val="0"/>
          <w:numId w:val="5"/>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8"/>
        <w:tblW w:w="97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950"/>
        <w:gridCol w:w="1080"/>
        <w:gridCol w:w="1245"/>
        <w:gridCol w:w="1995"/>
        <w:gridCol w:w="1350"/>
        <w:gridCol w:w="1080"/>
      </w:tblGrid>
      <w:tr w14:paraId="2AB39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125C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4DC7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标的名称</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88D89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计量单位</w:t>
            </w:r>
          </w:p>
        </w:tc>
        <w:tc>
          <w:tcPr>
            <w:tcW w:w="12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135D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1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78A7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含税单价</w:t>
            </w:r>
            <w:r>
              <w:rPr>
                <w:rFonts w:hint="eastAsia" w:ascii="宋体" w:hAnsi="宋体" w:eastAsia="宋体" w:cs="宋体"/>
                <w:b/>
                <w:bCs/>
                <w:i w:val="0"/>
                <w:iCs w:val="0"/>
                <w:color w:val="000000"/>
                <w:kern w:val="0"/>
                <w:sz w:val="24"/>
                <w:szCs w:val="24"/>
                <w:highlight w:val="none"/>
                <w:u w:val="none"/>
                <w:lang w:val="en-US" w:eastAsia="zh-CN" w:bidi="ar"/>
              </w:rPr>
              <w:br w:type="textWrapping"/>
            </w:r>
            <w:r>
              <w:rPr>
                <w:rFonts w:hint="eastAsia" w:ascii="宋体" w:hAnsi="宋体" w:eastAsia="宋体" w:cs="宋体"/>
                <w:b/>
                <w:bCs/>
                <w:i w:val="0"/>
                <w:iCs w:val="0"/>
                <w:color w:val="000000"/>
                <w:kern w:val="0"/>
                <w:sz w:val="24"/>
                <w:szCs w:val="24"/>
                <w:highlight w:val="none"/>
                <w:u w:val="none"/>
                <w:lang w:val="en-US" w:eastAsia="zh-CN" w:bidi="ar"/>
              </w:rPr>
              <w:t>（元，每千字）</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6EBD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小计</w:t>
            </w:r>
            <w:r>
              <w:rPr>
                <w:rFonts w:hint="eastAsia" w:ascii="宋体" w:hAnsi="宋体" w:eastAsia="宋体" w:cs="宋体"/>
                <w:b/>
                <w:bCs/>
                <w:i w:val="0"/>
                <w:iCs w:val="0"/>
                <w:color w:val="000000"/>
                <w:kern w:val="0"/>
                <w:sz w:val="24"/>
                <w:szCs w:val="24"/>
                <w:highlight w:val="none"/>
                <w:u w:val="none"/>
                <w:lang w:val="en-US" w:eastAsia="zh-CN" w:bidi="ar"/>
              </w:rPr>
              <w:br w:type="textWrapping"/>
            </w:r>
            <w:r>
              <w:rPr>
                <w:rFonts w:hint="eastAsia" w:ascii="宋体" w:hAnsi="宋体" w:eastAsia="宋体" w:cs="宋体"/>
                <w:b/>
                <w:bCs/>
                <w:i w:val="0"/>
                <w:iCs w:val="0"/>
                <w:color w:val="000000"/>
                <w:kern w:val="0"/>
                <w:sz w:val="24"/>
                <w:szCs w:val="24"/>
                <w:highlight w:val="none"/>
                <w:u w:val="none"/>
                <w:lang w:val="en-US" w:eastAsia="zh-CN" w:bidi="ar"/>
              </w:rPr>
              <w:t>（元）</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191D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E01B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78BAD">
            <w:pPr>
              <w:jc w:val="center"/>
              <w:rPr>
                <w:rFonts w:hint="eastAsia" w:ascii="宋体" w:hAnsi="宋体" w:eastAsia="宋体" w:cs="宋体"/>
                <w:b/>
                <w:bCs/>
                <w:i w:val="0"/>
                <w:iCs w:val="0"/>
                <w:color w:val="000000"/>
                <w:sz w:val="24"/>
                <w:szCs w:val="24"/>
                <w:highlight w:val="none"/>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E0BBB">
            <w:pPr>
              <w:jc w:val="center"/>
              <w:rPr>
                <w:rFonts w:hint="eastAsia" w:ascii="宋体" w:hAnsi="宋体" w:eastAsia="宋体" w:cs="宋体"/>
                <w:b/>
                <w:bCs/>
                <w:i w:val="0"/>
                <w:iCs w:val="0"/>
                <w:color w:val="000000"/>
                <w:sz w:val="24"/>
                <w:szCs w:val="24"/>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60B4D">
            <w:pPr>
              <w:jc w:val="center"/>
              <w:rPr>
                <w:rFonts w:hint="eastAsia" w:ascii="宋体" w:hAnsi="宋体" w:eastAsia="宋体" w:cs="宋体"/>
                <w:b/>
                <w:bCs/>
                <w:i w:val="0"/>
                <w:iCs w:val="0"/>
                <w:color w:val="000000"/>
                <w:sz w:val="24"/>
                <w:szCs w:val="24"/>
                <w:highlight w:val="none"/>
                <w:u w:val="none"/>
              </w:rPr>
            </w:pPr>
          </w:p>
        </w:tc>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F9E97">
            <w:pPr>
              <w:jc w:val="center"/>
              <w:rPr>
                <w:rFonts w:hint="eastAsia" w:ascii="宋体" w:hAnsi="宋体" w:eastAsia="宋体" w:cs="宋体"/>
                <w:b/>
                <w:bCs/>
                <w:i w:val="0"/>
                <w:iCs w:val="0"/>
                <w:color w:val="000000"/>
                <w:sz w:val="24"/>
                <w:szCs w:val="24"/>
                <w:highlight w:val="none"/>
                <w:u w:val="none"/>
              </w:rPr>
            </w:pPr>
          </w:p>
        </w:tc>
        <w:tc>
          <w:tcPr>
            <w:tcW w:w="1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AC455">
            <w:pPr>
              <w:jc w:val="center"/>
              <w:rPr>
                <w:rFonts w:hint="eastAsia" w:ascii="宋体" w:hAnsi="宋体" w:eastAsia="宋体" w:cs="宋体"/>
                <w:b/>
                <w:bCs/>
                <w:i w:val="0"/>
                <w:iCs w:val="0"/>
                <w:color w:val="000000"/>
                <w:sz w:val="24"/>
                <w:szCs w:val="24"/>
                <w:highlight w:val="none"/>
                <w:u w:val="none"/>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CEFF7">
            <w:pPr>
              <w:jc w:val="center"/>
              <w:rPr>
                <w:rFonts w:hint="eastAsia" w:ascii="宋体" w:hAnsi="宋体" w:eastAsia="宋体" w:cs="宋体"/>
                <w:b/>
                <w:bCs/>
                <w:i w:val="0"/>
                <w:iCs w:val="0"/>
                <w:color w:val="000000"/>
                <w:sz w:val="24"/>
                <w:szCs w:val="24"/>
                <w:highlight w:val="none"/>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7321E">
            <w:pPr>
              <w:jc w:val="center"/>
              <w:rPr>
                <w:rFonts w:hint="eastAsia" w:ascii="宋体" w:hAnsi="宋体" w:eastAsia="宋体" w:cs="宋体"/>
                <w:b/>
                <w:bCs/>
                <w:i w:val="0"/>
                <w:iCs w:val="0"/>
                <w:color w:val="000000"/>
                <w:sz w:val="24"/>
                <w:szCs w:val="24"/>
                <w:highlight w:val="none"/>
                <w:u w:val="none"/>
              </w:rPr>
            </w:pPr>
          </w:p>
        </w:tc>
      </w:tr>
      <w:tr w14:paraId="63C3B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07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86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中译英翻译服务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9E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8293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464,000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153A">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6B0E">
            <w:pPr>
              <w:jc w:val="both"/>
              <w:rPr>
                <w:rFonts w:hint="eastAsia" w:ascii="宋体" w:hAnsi="宋体" w:eastAsia="宋体" w:cs="宋体"/>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F9A4">
            <w:pPr>
              <w:jc w:val="center"/>
              <w:rPr>
                <w:rFonts w:hint="eastAsia" w:ascii="宋体" w:hAnsi="宋体" w:eastAsia="宋体" w:cs="宋体"/>
                <w:i w:val="0"/>
                <w:iCs w:val="0"/>
                <w:color w:val="000000"/>
                <w:sz w:val="24"/>
                <w:szCs w:val="24"/>
                <w:highlight w:val="none"/>
                <w:u w:val="none"/>
              </w:rPr>
            </w:pPr>
          </w:p>
        </w:tc>
      </w:tr>
      <w:tr w14:paraId="115E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11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8EA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英译中翻译服务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F2D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64F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132,500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2D8C">
            <w:pPr>
              <w:jc w:val="both"/>
              <w:rPr>
                <w:rFonts w:hint="eastAsia" w:ascii="宋体" w:hAnsi="宋体" w:eastAsia="宋体" w:cs="宋体"/>
                <w:i w:val="0"/>
                <w:iCs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62F3">
            <w:pPr>
              <w:jc w:val="both"/>
              <w:rPr>
                <w:rFonts w:hint="eastAsia" w:ascii="宋体" w:hAnsi="宋体" w:eastAsia="宋体" w:cs="宋体"/>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1B96">
            <w:pPr>
              <w:jc w:val="center"/>
              <w:rPr>
                <w:rFonts w:hint="eastAsia" w:ascii="宋体" w:hAnsi="宋体" w:eastAsia="宋体" w:cs="宋体"/>
                <w:i w:val="0"/>
                <w:iCs w:val="0"/>
                <w:color w:val="000000"/>
                <w:sz w:val="24"/>
                <w:szCs w:val="24"/>
                <w:highlight w:val="none"/>
                <w:u w:val="none"/>
              </w:rPr>
            </w:pPr>
          </w:p>
        </w:tc>
      </w:tr>
      <w:tr w14:paraId="586E2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E9F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28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中译俄翻译服务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A02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0F18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D733">
            <w:pPr>
              <w:jc w:val="both"/>
              <w:rPr>
                <w:rFonts w:hint="eastAsia" w:ascii="宋体" w:hAnsi="宋体" w:eastAsia="宋体" w:cs="宋体"/>
                <w:i w:val="0"/>
                <w:iCs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F583">
            <w:pPr>
              <w:jc w:val="both"/>
              <w:rPr>
                <w:rFonts w:hint="eastAsia" w:ascii="宋体" w:hAnsi="宋体" w:eastAsia="宋体" w:cs="宋体"/>
                <w:i w:val="0"/>
                <w:iCs w:val="0"/>
                <w:color w:val="000000"/>
                <w:sz w:val="24"/>
                <w:szCs w:val="24"/>
                <w:highlight w:val="none"/>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6085">
            <w:pPr>
              <w:jc w:val="center"/>
              <w:rPr>
                <w:rFonts w:hint="eastAsia" w:ascii="宋体" w:hAnsi="宋体" w:eastAsia="宋体" w:cs="宋体"/>
                <w:i w:val="0"/>
                <w:iCs w:val="0"/>
                <w:color w:val="000000"/>
                <w:sz w:val="24"/>
                <w:szCs w:val="24"/>
                <w:highlight w:val="none"/>
                <w:u w:val="none"/>
              </w:rPr>
            </w:pPr>
          </w:p>
        </w:tc>
      </w:tr>
      <w:tr w14:paraId="2B280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DD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4B9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中译阿拉伯语翻译服务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47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E9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8BC5">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F677C">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0360">
            <w:pPr>
              <w:rPr>
                <w:rFonts w:hint="eastAsia" w:ascii="宋体" w:hAnsi="宋体" w:eastAsia="宋体" w:cs="宋体"/>
                <w:i w:val="0"/>
                <w:iCs w:val="0"/>
                <w:color w:val="000000"/>
                <w:sz w:val="24"/>
                <w:szCs w:val="24"/>
                <w:highlight w:val="none"/>
                <w:u w:val="none"/>
              </w:rPr>
            </w:pPr>
          </w:p>
        </w:tc>
      </w:tr>
      <w:tr w14:paraId="0A8B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03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CF3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中译葡萄牙语翻译服务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5A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9D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08051">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C0771">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C3F0">
            <w:pPr>
              <w:rPr>
                <w:rFonts w:hint="eastAsia" w:ascii="宋体" w:hAnsi="宋体" w:eastAsia="宋体" w:cs="宋体"/>
                <w:i w:val="0"/>
                <w:iCs w:val="0"/>
                <w:color w:val="000000"/>
                <w:sz w:val="24"/>
                <w:szCs w:val="24"/>
                <w:highlight w:val="none"/>
                <w:u w:val="none"/>
              </w:rPr>
            </w:pPr>
          </w:p>
        </w:tc>
      </w:tr>
      <w:tr w14:paraId="125A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E39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9A9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中译土耳其语翻译服务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F48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05F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0905">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166C">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91E91">
            <w:pPr>
              <w:rPr>
                <w:rFonts w:hint="eastAsia" w:ascii="宋体" w:hAnsi="宋体" w:eastAsia="宋体" w:cs="宋体"/>
                <w:i w:val="0"/>
                <w:iCs w:val="0"/>
                <w:color w:val="000000"/>
                <w:sz w:val="24"/>
                <w:szCs w:val="24"/>
                <w:highlight w:val="none"/>
                <w:u w:val="none"/>
              </w:rPr>
            </w:pPr>
          </w:p>
        </w:tc>
      </w:tr>
      <w:tr w14:paraId="1C82A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3A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D2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中译印尼语翻译服务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BE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87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DFA8">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DA9C">
            <w:pPr>
              <w:rPr>
                <w:rFonts w:hint="eastAsia" w:ascii="宋体" w:hAnsi="宋体" w:eastAsia="宋体" w:cs="宋体"/>
                <w:i w:val="0"/>
                <w:iCs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F999">
            <w:pPr>
              <w:rPr>
                <w:rFonts w:hint="eastAsia" w:ascii="宋体" w:hAnsi="宋体" w:eastAsia="宋体" w:cs="宋体"/>
                <w:i w:val="0"/>
                <w:iCs w:val="0"/>
                <w:color w:val="000000"/>
                <w:sz w:val="24"/>
                <w:szCs w:val="24"/>
                <w:highlight w:val="none"/>
                <w:u w:val="none"/>
              </w:rPr>
            </w:pPr>
          </w:p>
        </w:tc>
      </w:tr>
      <w:tr w14:paraId="5F50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7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92CFE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含税总价（元）：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81C3">
            <w:pPr>
              <w:rPr>
                <w:rFonts w:hint="eastAsia" w:ascii="宋体" w:hAnsi="宋体" w:eastAsia="宋体" w:cs="宋体"/>
                <w:i w:val="0"/>
                <w:iCs w:val="0"/>
                <w:color w:val="000000"/>
                <w:sz w:val="24"/>
                <w:szCs w:val="24"/>
                <w:highlight w:val="none"/>
                <w:u w:val="none"/>
              </w:rPr>
            </w:pPr>
          </w:p>
        </w:tc>
      </w:tr>
    </w:tbl>
    <w:p w14:paraId="5CC6E14D">
      <w:pPr>
        <w:autoSpaceDE w:val="0"/>
        <w:autoSpaceDN w:val="0"/>
        <w:adjustRightInd w:val="0"/>
        <w:spacing w:line="360" w:lineRule="auto"/>
        <w:rPr>
          <w:rFonts w:ascii="宋体" w:hAnsi="宋体"/>
          <w:color w:val="000000"/>
          <w:sz w:val="24"/>
          <w:szCs w:val="24"/>
          <w:highlight w:val="none"/>
        </w:rPr>
      </w:pPr>
    </w:p>
    <w:p w14:paraId="4094855F">
      <w:pPr>
        <w:pStyle w:val="14"/>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4ED753FC">
      <w:pPr>
        <w:autoSpaceDE w:val="0"/>
        <w:autoSpaceDN w:val="0"/>
        <w:adjustRightInd w:val="0"/>
        <w:spacing w:line="360" w:lineRule="auto"/>
        <w:ind w:firstLine="480" w:firstLineChars="200"/>
        <w:rPr>
          <w:rFonts w:ascii="宋体" w:hAnsi="宋体"/>
          <w:color w:val="000000"/>
          <w:sz w:val="24"/>
          <w:szCs w:val="24"/>
          <w:highlight w:val="none"/>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p>
    <w:p w14:paraId="559F1932">
      <w:pPr>
        <w:pStyle w:val="14"/>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79259381">
      <w:pPr>
        <w:numPr>
          <w:ilvl w:val="0"/>
          <w:numId w:val="6"/>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提交针对需求中商务要求的响应，参考格式如下：</w:t>
      </w:r>
    </w:p>
    <w:p w14:paraId="5F9EB642">
      <w:pPr>
        <w:pStyle w:val="14"/>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5AD10FFD">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4EEE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4C4F2ED">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4FD1705">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43596D72">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2174315C">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0D09A490">
            <w:pPr>
              <w:jc w:val="center"/>
              <w:rPr>
                <w:rFonts w:ascii="宋体" w:hAnsi="宋体"/>
                <w:sz w:val="24"/>
                <w:szCs w:val="24"/>
                <w:highlight w:val="none"/>
              </w:rPr>
            </w:pPr>
            <w:r>
              <w:rPr>
                <w:rFonts w:hint="eastAsia" w:ascii="宋体" w:hAnsi="宋体"/>
                <w:sz w:val="24"/>
                <w:szCs w:val="24"/>
                <w:highlight w:val="none"/>
              </w:rPr>
              <w:t>说明</w:t>
            </w:r>
          </w:p>
        </w:tc>
      </w:tr>
      <w:tr w14:paraId="6B0CF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3CDD7AA">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05B979A">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11D67D8">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9599A53">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C7AAF23">
            <w:pPr>
              <w:spacing w:line="360" w:lineRule="atLeast"/>
              <w:jc w:val="center"/>
              <w:rPr>
                <w:rFonts w:ascii="宋体" w:hAnsi="宋体"/>
                <w:sz w:val="24"/>
                <w:szCs w:val="24"/>
                <w:highlight w:val="none"/>
              </w:rPr>
            </w:pPr>
          </w:p>
        </w:tc>
      </w:tr>
      <w:tr w14:paraId="0A7A6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0D2E8229">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54FA084">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886130C">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137F974">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4045AEA9">
            <w:pPr>
              <w:spacing w:line="360" w:lineRule="atLeast"/>
              <w:jc w:val="center"/>
              <w:rPr>
                <w:rFonts w:ascii="宋体" w:hAnsi="宋体"/>
                <w:sz w:val="24"/>
                <w:szCs w:val="24"/>
                <w:highlight w:val="none"/>
              </w:rPr>
            </w:pPr>
          </w:p>
        </w:tc>
      </w:tr>
      <w:tr w14:paraId="4637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B11B8B4">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29BAC20E">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DB8AEF0">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381FEE85">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2E3EFC27">
            <w:pPr>
              <w:spacing w:line="360" w:lineRule="atLeast"/>
              <w:jc w:val="center"/>
              <w:rPr>
                <w:rFonts w:ascii="宋体" w:hAnsi="宋体"/>
                <w:sz w:val="24"/>
                <w:szCs w:val="24"/>
                <w:highlight w:val="none"/>
              </w:rPr>
            </w:pPr>
          </w:p>
        </w:tc>
      </w:tr>
    </w:tbl>
    <w:p w14:paraId="3F7CF040">
      <w:pPr>
        <w:pStyle w:val="14"/>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0D001CE5">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56F586DB">
      <w:pPr>
        <w:pStyle w:val="14"/>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12AB920D">
      <w:pPr>
        <w:pStyle w:val="14"/>
        <w:numPr>
          <w:ilvl w:val="1"/>
          <w:numId w:val="3"/>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4B6EA65D">
      <w:pPr>
        <w:numPr>
          <w:ilvl w:val="0"/>
          <w:numId w:val="6"/>
        </w:numPr>
        <w:autoSpaceDE w:val="0"/>
        <w:autoSpaceDN w:val="0"/>
        <w:adjustRightInd w:val="0"/>
        <w:spacing w:line="360" w:lineRule="auto"/>
        <w:rPr>
          <w:rFonts w:ascii="宋体" w:hAnsi="宋体"/>
          <w:sz w:val="24"/>
          <w:szCs w:val="24"/>
          <w:highlight w:val="none"/>
        </w:rPr>
      </w:pPr>
      <w:r>
        <w:rPr>
          <w:rFonts w:hint="eastAsia" w:ascii="宋体" w:hAnsi="宋体"/>
          <w:sz w:val="24"/>
          <w:szCs w:val="24"/>
          <w:highlight w:val="none"/>
        </w:rPr>
        <w:t>其他响应人认为有必要提供的资料。</w:t>
      </w:r>
    </w:p>
    <w:p w14:paraId="4188DB1F">
      <w:pPr>
        <w:pStyle w:val="14"/>
        <w:autoSpaceDE w:val="0"/>
        <w:autoSpaceDN w:val="0"/>
        <w:adjustRightInd w:val="0"/>
        <w:spacing w:line="360" w:lineRule="auto"/>
        <w:ind w:left="927" w:firstLine="0" w:firstLineChars="0"/>
        <w:rPr>
          <w:rFonts w:ascii="宋体" w:hAnsi="宋体"/>
          <w:color w:val="000000"/>
          <w:szCs w:val="24"/>
          <w:highlight w:val="none"/>
        </w:rPr>
      </w:pPr>
    </w:p>
    <w:p w14:paraId="0397A7DB">
      <w:pPr>
        <w:pStyle w:val="14"/>
        <w:numPr>
          <w:ilvl w:val="0"/>
          <w:numId w:val="4"/>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0D31BA29">
      <w:pPr>
        <w:pStyle w:val="14"/>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12054762">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563A9659">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075B9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2BFA5842">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5623C62A">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06A66506">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17DA5053">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4666C0E2">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59EFA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0A4CECC0">
            <w:pPr>
              <w:spacing w:line="360" w:lineRule="atLeast"/>
              <w:rPr>
                <w:rFonts w:ascii="宋体" w:hAnsi="Courier New"/>
                <w:color w:val="000000"/>
                <w:sz w:val="24"/>
                <w:szCs w:val="24"/>
                <w:highlight w:val="none"/>
              </w:rPr>
            </w:pPr>
          </w:p>
        </w:tc>
        <w:tc>
          <w:tcPr>
            <w:tcW w:w="2377" w:type="dxa"/>
          </w:tcPr>
          <w:p w14:paraId="578BD368">
            <w:pPr>
              <w:spacing w:line="360" w:lineRule="atLeast"/>
              <w:rPr>
                <w:rFonts w:ascii="宋体" w:hAnsi="Courier New"/>
                <w:color w:val="000000"/>
                <w:sz w:val="24"/>
                <w:szCs w:val="24"/>
                <w:highlight w:val="none"/>
              </w:rPr>
            </w:pPr>
          </w:p>
        </w:tc>
        <w:tc>
          <w:tcPr>
            <w:tcW w:w="2268" w:type="dxa"/>
          </w:tcPr>
          <w:p w14:paraId="7C07A327">
            <w:pPr>
              <w:spacing w:line="360" w:lineRule="atLeast"/>
              <w:rPr>
                <w:rFonts w:ascii="宋体" w:hAnsi="Courier New"/>
                <w:color w:val="000000"/>
                <w:sz w:val="24"/>
                <w:szCs w:val="24"/>
                <w:highlight w:val="none"/>
              </w:rPr>
            </w:pPr>
          </w:p>
        </w:tc>
        <w:tc>
          <w:tcPr>
            <w:tcW w:w="1701" w:type="dxa"/>
          </w:tcPr>
          <w:p w14:paraId="32BFF67B">
            <w:pPr>
              <w:spacing w:line="360" w:lineRule="atLeast"/>
              <w:rPr>
                <w:rFonts w:ascii="宋体" w:hAnsi="Courier New"/>
                <w:color w:val="000000"/>
                <w:sz w:val="24"/>
                <w:szCs w:val="24"/>
                <w:highlight w:val="none"/>
              </w:rPr>
            </w:pPr>
          </w:p>
        </w:tc>
        <w:tc>
          <w:tcPr>
            <w:tcW w:w="1418" w:type="dxa"/>
          </w:tcPr>
          <w:p w14:paraId="3A0AF9B7">
            <w:pPr>
              <w:spacing w:line="360" w:lineRule="atLeast"/>
              <w:rPr>
                <w:rFonts w:ascii="宋体" w:hAnsi="Courier New"/>
                <w:color w:val="000000"/>
                <w:sz w:val="24"/>
                <w:szCs w:val="24"/>
                <w:highlight w:val="none"/>
              </w:rPr>
            </w:pPr>
          </w:p>
        </w:tc>
      </w:tr>
      <w:tr w14:paraId="302F8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1BCD667B">
            <w:pPr>
              <w:spacing w:line="360" w:lineRule="atLeast"/>
              <w:rPr>
                <w:rFonts w:ascii="宋体" w:hAnsi="Courier New"/>
                <w:color w:val="000000"/>
                <w:sz w:val="24"/>
                <w:szCs w:val="24"/>
                <w:highlight w:val="none"/>
              </w:rPr>
            </w:pPr>
          </w:p>
        </w:tc>
        <w:tc>
          <w:tcPr>
            <w:tcW w:w="2377" w:type="dxa"/>
          </w:tcPr>
          <w:p w14:paraId="0794F5D1">
            <w:pPr>
              <w:spacing w:line="360" w:lineRule="atLeast"/>
              <w:rPr>
                <w:rFonts w:ascii="宋体" w:hAnsi="Courier New"/>
                <w:color w:val="000000"/>
                <w:sz w:val="24"/>
                <w:szCs w:val="24"/>
                <w:highlight w:val="none"/>
              </w:rPr>
            </w:pPr>
          </w:p>
        </w:tc>
        <w:tc>
          <w:tcPr>
            <w:tcW w:w="2268" w:type="dxa"/>
          </w:tcPr>
          <w:p w14:paraId="0802EA63">
            <w:pPr>
              <w:spacing w:line="360" w:lineRule="atLeast"/>
              <w:rPr>
                <w:rFonts w:ascii="宋体" w:hAnsi="Courier New"/>
                <w:color w:val="000000"/>
                <w:sz w:val="24"/>
                <w:szCs w:val="24"/>
                <w:highlight w:val="none"/>
              </w:rPr>
            </w:pPr>
          </w:p>
        </w:tc>
        <w:tc>
          <w:tcPr>
            <w:tcW w:w="1701" w:type="dxa"/>
          </w:tcPr>
          <w:p w14:paraId="78C92D0F">
            <w:pPr>
              <w:spacing w:line="360" w:lineRule="atLeast"/>
              <w:rPr>
                <w:rFonts w:ascii="宋体" w:hAnsi="Courier New"/>
                <w:color w:val="000000"/>
                <w:sz w:val="24"/>
                <w:szCs w:val="24"/>
                <w:highlight w:val="none"/>
              </w:rPr>
            </w:pPr>
          </w:p>
        </w:tc>
        <w:tc>
          <w:tcPr>
            <w:tcW w:w="1418" w:type="dxa"/>
          </w:tcPr>
          <w:p w14:paraId="2613EB72">
            <w:pPr>
              <w:spacing w:line="360" w:lineRule="atLeast"/>
              <w:rPr>
                <w:rFonts w:ascii="宋体" w:hAnsi="Courier New"/>
                <w:color w:val="000000"/>
                <w:sz w:val="24"/>
                <w:szCs w:val="24"/>
                <w:highlight w:val="none"/>
              </w:rPr>
            </w:pPr>
          </w:p>
        </w:tc>
      </w:tr>
      <w:tr w14:paraId="0BB84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5E1FA75">
            <w:pPr>
              <w:spacing w:line="360" w:lineRule="atLeast"/>
              <w:rPr>
                <w:rFonts w:ascii="宋体" w:hAnsi="Courier New"/>
                <w:color w:val="000000"/>
                <w:sz w:val="24"/>
                <w:szCs w:val="24"/>
                <w:highlight w:val="none"/>
              </w:rPr>
            </w:pPr>
          </w:p>
        </w:tc>
        <w:tc>
          <w:tcPr>
            <w:tcW w:w="2377" w:type="dxa"/>
          </w:tcPr>
          <w:p w14:paraId="415A0E77">
            <w:pPr>
              <w:spacing w:line="360" w:lineRule="atLeast"/>
              <w:rPr>
                <w:rFonts w:ascii="宋体" w:hAnsi="Courier New"/>
                <w:color w:val="000000"/>
                <w:sz w:val="24"/>
                <w:szCs w:val="24"/>
                <w:highlight w:val="none"/>
              </w:rPr>
            </w:pPr>
          </w:p>
        </w:tc>
        <w:tc>
          <w:tcPr>
            <w:tcW w:w="2268" w:type="dxa"/>
          </w:tcPr>
          <w:p w14:paraId="7F7A55FA">
            <w:pPr>
              <w:spacing w:line="360" w:lineRule="atLeast"/>
              <w:rPr>
                <w:rFonts w:ascii="宋体" w:hAnsi="Courier New"/>
                <w:color w:val="000000"/>
                <w:sz w:val="24"/>
                <w:szCs w:val="24"/>
                <w:highlight w:val="none"/>
              </w:rPr>
            </w:pPr>
          </w:p>
        </w:tc>
        <w:tc>
          <w:tcPr>
            <w:tcW w:w="1701" w:type="dxa"/>
          </w:tcPr>
          <w:p w14:paraId="213F74EB">
            <w:pPr>
              <w:spacing w:line="360" w:lineRule="atLeast"/>
              <w:rPr>
                <w:rFonts w:ascii="宋体" w:hAnsi="Courier New"/>
                <w:color w:val="000000"/>
                <w:sz w:val="24"/>
                <w:szCs w:val="24"/>
                <w:highlight w:val="none"/>
              </w:rPr>
            </w:pPr>
          </w:p>
        </w:tc>
        <w:tc>
          <w:tcPr>
            <w:tcW w:w="1418" w:type="dxa"/>
          </w:tcPr>
          <w:p w14:paraId="11229747">
            <w:pPr>
              <w:spacing w:line="360" w:lineRule="atLeast"/>
              <w:rPr>
                <w:rFonts w:ascii="宋体" w:hAnsi="Courier New"/>
                <w:color w:val="000000"/>
                <w:sz w:val="24"/>
                <w:szCs w:val="24"/>
                <w:highlight w:val="none"/>
              </w:rPr>
            </w:pPr>
          </w:p>
        </w:tc>
      </w:tr>
    </w:tbl>
    <w:p w14:paraId="487DD8ED">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5BB5A058">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13A82518">
      <w:pPr>
        <w:pStyle w:val="14"/>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72D31759">
      <w:pPr>
        <w:pStyle w:val="14"/>
        <w:numPr>
          <w:ilvl w:val="0"/>
          <w:numId w:val="8"/>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4C5F3A3C">
      <w:pPr>
        <w:pStyle w:val="14"/>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36D65351">
      <w:pPr>
        <w:pStyle w:val="14"/>
        <w:numPr>
          <w:ilvl w:val="0"/>
          <w:numId w:val="4"/>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22C155DC">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17C3DB32">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7380C2D1">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2EEE761A">
      <w:pPr>
        <w:autoSpaceDE w:val="0"/>
        <w:autoSpaceDN w:val="0"/>
        <w:adjustRightInd w:val="0"/>
        <w:spacing w:before="100" w:beforeAutospacing="1"/>
        <w:outlineLvl w:val="0"/>
        <w:rPr>
          <w:rFonts w:ascii="黑体" w:eastAsia="黑体" w:cs="黑体"/>
          <w:color w:val="000000"/>
          <w:kern w:val="0"/>
          <w:sz w:val="28"/>
          <w:szCs w:val="28"/>
          <w:highlight w:val="none"/>
        </w:rPr>
      </w:pPr>
      <w:bookmarkStart w:id="0" w:name="_Hlk196838675"/>
      <w:r>
        <w:rPr>
          <w:rFonts w:hint="eastAsia" w:ascii="黑体" w:eastAsia="黑体" w:cs="黑体"/>
          <w:color w:val="000000"/>
          <w:kern w:val="0"/>
          <w:sz w:val="28"/>
          <w:szCs w:val="28"/>
          <w:highlight w:val="none"/>
        </w:rPr>
        <w:t>五、澄清与异议</w:t>
      </w:r>
    </w:p>
    <w:p w14:paraId="01D559EE">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3ABE8FCA">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1D519BF7">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29BA01B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73C6424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3144500E">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592D1D32">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23D981CD">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24F93598">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2CAC9C2A">
      <w:pPr>
        <w:pStyle w:val="4"/>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05746C2E">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54901FE6">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auto"/>
          <w:sz w:val="24"/>
          <w:szCs w:val="24"/>
          <w:highlight w:val="none"/>
          <w:lang w:val="en-US" w:eastAsia="zh-CN"/>
        </w:rPr>
        <w:t>021-33128863</w:t>
      </w:r>
      <w:r>
        <w:rPr>
          <w:rFonts w:hint="eastAsia" w:ascii="宋体" w:hAnsi="宋体"/>
          <w:color w:val="000000"/>
          <w:sz w:val="24"/>
          <w:szCs w:val="24"/>
          <w:highlight w:val="none"/>
        </w:rPr>
        <w:t>，地址：上海市中山南路6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5D544F13">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7C0EBBF4">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14:paraId="2FC59476">
      <w:pPr>
        <w:autoSpaceDE w:val="0"/>
        <w:autoSpaceDN w:val="0"/>
        <w:adjustRightInd w:val="0"/>
        <w:spacing w:line="360" w:lineRule="auto"/>
        <w:rPr>
          <w:rFonts w:ascii="宋体" w:hAnsi="宋体" w:cs="宋体"/>
          <w:color w:val="000000"/>
          <w:kern w:val="0"/>
          <w:sz w:val="24"/>
          <w:szCs w:val="24"/>
          <w:highlight w:val="none"/>
        </w:rPr>
      </w:pPr>
    </w:p>
    <w:p w14:paraId="4E9EC424">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p>
    <w:p w14:paraId="2EFB402E">
      <w:pPr>
        <w:pStyle w:val="14"/>
        <w:numPr>
          <w:ilvl w:val="0"/>
          <w:numId w:val="9"/>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p>
    <w:p w14:paraId="689371FE">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rPr>
        <w:t>5年</w:t>
      </w:r>
      <w:r>
        <w:rPr>
          <w:rFonts w:hint="eastAsia" w:ascii="宋体" w:hAnsi="宋体" w:cs="宋体"/>
          <w:color w:val="000000"/>
          <w:kern w:val="0"/>
          <w:sz w:val="24"/>
          <w:szCs w:val="24"/>
          <w:highlight w:val="none"/>
          <w:lang w:val="en-US" w:eastAsia="zh-CN"/>
        </w:rPr>
        <w:t>10</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15</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auto"/>
          <w:kern w:val="0"/>
          <w:sz w:val="24"/>
          <w:szCs w:val="24"/>
          <w:highlight w:val="none"/>
          <w:lang w:eastAsia="zh-CN"/>
        </w:rPr>
        <w:t>吕女士</w:t>
      </w:r>
      <w:r>
        <w:rPr>
          <w:rFonts w:hint="eastAsia" w:ascii="宋体" w:hAnsi="宋体" w:cs="宋体"/>
          <w:color w:val="auto"/>
          <w:kern w:val="0"/>
          <w:sz w:val="24"/>
          <w:szCs w:val="24"/>
          <w:highlight w:val="none"/>
        </w:rPr>
        <w:t>，0</w:t>
      </w:r>
      <w:r>
        <w:rPr>
          <w:rFonts w:ascii="宋体" w:hAnsi="宋体" w:cs="宋体"/>
          <w:color w:val="auto"/>
          <w:kern w:val="0"/>
          <w:sz w:val="24"/>
          <w:szCs w:val="24"/>
          <w:highlight w:val="none"/>
        </w:rPr>
        <w:t>21-3312</w:t>
      </w:r>
      <w:r>
        <w:rPr>
          <w:rFonts w:hint="eastAsia" w:ascii="宋体" w:hAnsi="宋体" w:cs="宋体"/>
          <w:color w:val="auto"/>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51F5B6F9">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4384FA66">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7EEA09F8">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3A66580C">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2025</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9</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30</w:t>
      </w:r>
      <w:bookmarkStart w:id="8" w:name="_GoBack"/>
      <w:bookmarkEnd w:id="8"/>
      <w:r>
        <w:rPr>
          <w:rFonts w:hint="eastAsia" w:ascii="宋体" w:hAnsi="宋体" w:cs="宋体"/>
          <w:color w:val="000000"/>
          <w:kern w:val="0"/>
          <w:sz w:val="24"/>
          <w:szCs w:val="24"/>
          <w:highlight w:val="none"/>
        </w:rPr>
        <w:t>日</w:t>
      </w:r>
    </w:p>
    <w:p w14:paraId="797AEA4B">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附件一：（参考格式）</w:t>
      </w:r>
    </w:p>
    <w:p w14:paraId="50FE4758">
      <w:pPr>
        <w:pStyle w:val="15"/>
        <w:spacing w:before="120"/>
        <w:rPr>
          <w:rFonts w:ascii="宋体" w:hAnsi="宋体" w:eastAsia="宋体"/>
          <w:b/>
          <w:bCs/>
          <w:color w:val="000000"/>
          <w:kern w:val="2"/>
          <w:sz w:val="36"/>
          <w:szCs w:val="36"/>
          <w:highlight w:val="none"/>
        </w:rPr>
      </w:pPr>
    </w:p>
    <w:p w14:paraId="08EEE6AB">
      <w:pPr>
        <w:pStyle w:val="15"/>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546493B8">
      <w:pPr>
        <w:spacing w:line="360" w:lineRule="auto"/>
        <w:ind w:firstLine="480" w:firstLineChars="200"/>
        <w:rPr>
          <w:rFonts w:ascii="宋体" w:hAnsi="宋体"/>
          <w:color w:val="000000"/>
          <w:sz w:val="24"/>
          <w:highlight w:val="none"/>
        </w:rPr>
      </w:pPr>
    </w:p>
    <w:p w14:paraId="7A303CD2">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4C9B9EAA">
      <w:pPr>
        <w:spacing w:line="360" w:lineRule="auto"/>
        <w:ind w:firstLine="480" w:firstLineChars="200"/>
        <w:rPr>
          <w:rFonts w:ascii="宋体" w:hAnsi="宋体"/>
          <w:color w:val="000000"/>
          <w:sz w:val="24"/>
          <w:highlight w:val="none"/>
        </w:rPr>
      </w:pPr>
    </w:p>
    <w:p w14:paraId="4D0D1C50">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4332E977">
      <w:pPr>
        <w:spacing w:line="360" w:lineRule="auto"/>
        <w:rPr>
          <w:rFonts w:ascii="宋体" w:hAnsi="宋体"/>
          <w:color w:val="000000"/>
          <w:sz w:val="24"/>
          <w:highlight w:val="none"/>
        </w:rPr>
      </w:pPr>
    </w:p>
    <w:p w14:paraId="4D4AF714">
      <w:pPr>
        <w:spacing w:line="360" w:lineRule="auto"/>
        <w:rPr>
          <w:rFonts w:ascii="宋体" w:hAnsi="宋体"/>
          <w:color w:val="000000"/>
          <w:sz w:val="24"/>
          <w:highlight w:val="none"/>
        </w:rPr>
      </w:pPr>
    </w:p>
    <w:p w14:paraId="664F9C91">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128338F4">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0CC7F79F">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1219DB3A">
      <w:pPr>
        <w:spacing w:line="360" w:lineRule="auto"/>
        <w:rPr>
          <w:rFonts w:ascii="宋体" w:hAnsi="宋体"/>
          <w:color w:val="000000"/>
          <w:sz w:val="24"/>
          <w:highlight w:val="none"/>
        </w:rPr>
      </w:pPr>
    </w:p>
    <w:p w14:paraId="600CF08E">
      <w:pPr>
        <w:widowControl/>
        <w:jc w:val="left"/>
        <w:rPr>
          <w:rFonts w:ascii="宋体" w:hAnsi="宋体"/>
          <w:b/>
          <w:color w:val="000000"/>
          <w:sz w:val="24"/>
          <w:highlight w:val="none"/>
          <w:u w:val="single"/>
        </w:rPr>
      </w:pPr>
    </w:p>
    <w:p w14:paraId="584E94EB">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7FD5B978">
      <w:pPr>
        <w:rPr>
          <w:rFonts w:ascii="宋体" w:hAnsi="宋体"/>
          <w:color w:val="000000"/>
          <w:szCs w:val="21"/>
          <w:highlight w:val="none"/>
        </w:rPr>
      </w:pPr>
    </w:p>
    <w:p w14:paraId="29458E99">
      <w:pPr>
        <w:rPr>
          <w:rFonts w:ascii="宋体" w:hAnsi="宋体"/>
          <w:color w:val="000000"/>
          <w:szCs w:val="21"/>
          <w:highlight w:val="none"/>
        </w:rPr>
      </w:pPr>
    </w:p>
    <w:p w14:paraId="0C624101">
      <w:pPr>
        <w:rPr>
          <w:rFonts w:ascii="宋体" w:hAnsi="宋体"/>
          <w:color w:val="000000"/>
          <w:szCs w:val="21"/>
          <w:highlight w:val="none"/>
        </w:rPr>
      </w:pPr>
    </w:p>
    <w:p w14:paraId="409BE5F9">
      <w:pPr>
        <w:rPr>
          <w:rFonts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75CFE219">
      <w:pPr>
        <w:rPr>
          <w:rFonts w:ascii="宋体" w:hAnsi="宋体"/>
          <w:color w:val="000000"/>
          <w:sz w:val="24"/>
          <w:szCs w:val="24"/>
          <w:highlight w:val="none"/>
        </w:rPr>
      </w:pPr>
    </w:p>
    <w:p w14:paraId="07048C3A">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（一）项目概况</w:t>
      </w:r>
    </w:p>
    <w:tbl>
      <w:tblPr>
        <w:tblStyle w:val="8"/>
        <w:tblW w:w="0" w:type="auto"/>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206"/>
        <w:gridCol w:w="7770"/>
      </w:tblGrid>
      <w:tr w14:paraId="3CD3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7" w:type="dxa"/>
            <w:shd w:val="clear" w:color="auto" w:fill="FFFFFF" w:themeFill="background1"/>
          </w:tcPr>
          <w:p w14:paraId="54843E99">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206" w:type="dxa"/>
            <w:shd w:val="clear" w:color="auto" w:fill="FFFFFF" w:themeFill="background1"/>
          </w:tcPr>
          <w:p w14:paraId="70624FE4">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内 容</w:t>
            </w:r>
          </w:p>
        </w:tc>
        <w:tc>
          <w:tcPr>
            <w:tcW w:w="7770" w:type="dxa"/>
            <w:shd w:val="clear" w:color="auto" w:fill="FFFFFF" w:themeFill="background1"/>
          </w:tcPr>
          <w:p w14:paraId="069FD5A4">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说    明</w:t>
            </w:r>
          </w:p>
        </w:tc>
      </w:tr>
      <w:tr w14:paraId="31BD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7" w:type="dxa"/>
          </w:tcPr>
          <w:p w14:paraId="2172554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206" w:type="dxa"/>
          </w:tcPr>
          <w:p w14:paraId="3A3E24F0">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7770" w:type="dxa"/>
            <w:vAlign w:val="center"/>
          </w:tcPr>
          <w:p w14:paraId="7D1BE21A">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近年来，上海黄金交易所持续深化国际交流合作，不断提升对外开放水平。在对外交流中，高质量、高水准的翻译服务是支撑上海黄金交易所国际化发展和黄金市场对外开放的重要一环和坚实保障。 </w:t>
            </w:r>
          </w:p>
        </w:tc>
      </w:tr>
      <w:tr w14:paraId="64BC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7" w:type="dxa"/>
          </w:tcPr>
          <w:p w14:paraId="5F5068B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06" w:type="dxa"/>
          </w:tcPr>
          <w:p w14:paraId="2ACDD4B4">
            <w:pPr>
              <w:spacing w:line="44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7770" w:type="dxa"/>
            <w:vAlign w:val="center"/>
          </w:tcPr>
          <w:p w14:paraId="19DA3F57">
            <w:pPr>
              <w:spacing w:line="440" w:lineRule="exact"/>
              <w:ind w:firstLine="480" w:firstLineChars="200"/>
              <w:rPr>
                <w:rFonts w:hint="eastAsia" w:ascii="宋体" w:hAnsi="宋体" w:eastAsia="宋体" w:cs="宋体"/>
                <w:spacing w:val="0"/>
                <w:kern w:val="2"/>
                <w:sz w:val="24"/>
                <w:szCs w:val="24"/>
                <w:highlight w:val="none"/>
              </w:rPr>
            </w:pPr>
            <w:r>
              <w:rPr>
                <w:rFonts w:hint="eastAsia" w:ascii="宋体" w:hAnsi="宋体" w:eastAsia="宋体" w:cs="宋体"/>
                <w:sz w:val="24"/>
                <w:szCs w:val="24"/>
                <w:highlight w:val="none"/>
              </w:rPr>
              <w:t>采购2026年1月1日至2027年12月31日期间的翻译服务，在合同期内为上海黄金交易所及下属子公司上海国际黄金交易中心提供高质量的中英文、</w:t>
            </w:r>
            <w:r>
              <w:rPr>
                <w:rFonts w:hint="eastAsia" w:ascii="宋体" w:hAnsi="宋体" w:eastAsia="宋体" w:cs="宋体"/>
                <w:bCs/>
                <w:iCs/>
                <w:sz w:val="24"/>
                <w:szCs w:val="24"/>
                <w:highlight w:val="none"/>
              </w:rPr>
              <w:t>中-俄文、中-阿拉伯语、中-葡萄牙语、中-土耳其语、中-印尼语等的</w:t>
            </w:r>
            <w:r>
              <w:rPr>
                <w:rFonts w:hint="eastAsia" w:ascii="宋体" w:hAnsi="宋体" w:eastAsia="宋体" w:cs="宋体"/>
                <w:sz w:val="24"/>
                <w:szCs w:val="24"/>
                <w:highlight w:val="none"/>
              </w:rPr>
              <w:t>翻译服务，满足业务规则、宣传文件、研究报告、财务报告、法律文件、信息技术文件等资料的翻译（笔译）需求，助力国际化发展。</w:t>
            </w:r>
          </w:p>
        </w:tc>
      </w:tr>
    </w:tbl>
    <w:p w14:paraId="346A0AE3">
      <w:pPr>
        <w:spacing w:line="560" w:lineRule="exact"/>
        <w:ind w:firstLine="480" w:firstLineChars="200"/>
        <w:jc w:val="left"/>
        <w:outlineLvl w:val="1"/>
        <w:rPr>
          <w:rFonts w:hint="eastAsia" w:ascii="宋体" w:hAnsi="宋体" w:eastAsia="宋体" w:cs="宋体"/>
          <w:sz w:val="24"/>
          <w:szCs w:val="24"/>
          <w:highlight w:val="none"/>
        </w:rPr>
      </w:pPr>
    </w:p>
    <w:p w14:paraId="633073DD">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（二）采购项目预（概）算</w:t>
      </w:r>
    </w:p>
    <w:p w14:paraId="54D9D77A">
      <w:pPr>
        <w:spacing w:line="560" w:lineRule="exact"/>
        <w:ind w:firstLine="480" w:firstLineChars="20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总 预 算：</w:t>
      </w:r>
      <w:r>
        <w:rPr>
          <w:rFonts w:hint="eastAsia" w:ascii="宋体" w:hAnsi="宋体" w:eastAsia="宋体" w:cs="宋体"/>
          <w:sz w:val="24"/>
          <w:szCs w:val="24"/>
          <w:highlight w:val="none"/>
          <w:u w:val="single"/>
        </w:rPr>
        <w:t xml:space="preserve">  58万元    </w:t>
      </w:r>
    </w:p>
    <w:p w14:paraId="442C3644">
      <w:pPr>
        <w:snapToGrid w:val="0"/>
        <w:spacing w:line="360" w:lineRule="auto"/>
        <w:ind w:firstLine="480" w:firstLineChars="200"/>
        <w:rPr>
          <w:rFonts w:hint="eastAsia" w:ascii="宋体" w:hAnsi="宋体" w:eastAsia="宋体" w:cs="宋体"/>
          <w:sz w:val="24"/>
          <w:szCs w:val="24"/>
          <w:highlight w:val="none"/>
          <w:u w:val="single"/>
        </w:rPr>
      </w:pPr>
      <w:bookmarkStart w:id="1" w:name="OLE_LINK4"/>
      <w:r>
        <w:rPr>
          <w:rFonts w:hint="eastAsia" w:ascii="宋体" w:hAnsi="宋体" w:eastAsia="宋体" w:cs="宋体"/>
          <w:sz w:val="24"/>
          <w:szCs w:val="24"/>
          <w:highlight w:val="none"/>
        </w:rPr>
        <w:t>最高限价：</w:t>
      </w:r>
      <w:r>
        <w:rPr>
          <w:rFonts w:hint="eastAsia" w:ascii="宋体" w:hAnsi="宋体" w:eastAsia="宋体" w:cs="宋体"/>
          <w:sz w:val="24"/>
          <w:szCs w:val="24"/>
          <w:highlight w:val="none"/>
          <w:u w:val="single"/>
        </w:rPr>
        <w:t xml:space="preserve">  </w:t>
      </w:r>
      <w:bookmarkStart w:id="2" w:name="OLE_LINK3"/>
      <w:r>
        <w:rPr>
          <w:rFonts w:hint="eastAsia" w:ascii="宋体" w:hAnsi="宋体" w:eastAsia="宋体" w:cs="宋体"/>
          <w:sz w:val="24"/>
          <w:szCs w:val="24"/>
          <w:highlight w:val="none"/>
          <w:u w:val="single"/>
        </w:rPr>
        <w:t>中译英每千字1000元、英译中每千字800元、</w:t>
      </w:r>
      <w:r>
        <w:rPr>
          <w:rFonts w:hint="eastAsia" w:ascii="宋体" w:hAnsi="宋体" w:eastAsia="宋体" w:cs="宋体"/>
          <w:bCs/>
          <w:iCs/>
          <w:sz w:val="24"/>
          <w:szCs w:val="24"/>
          <w:highlight w:val="none"/>
          <w:u w:val="single"/>
        </w:rPr>
        <w:t>中译俄每千字1000元、中译阿拉伯语每千字1000元、中译葡萄牙语每千字1000元、中译土耳其语每千字1000元、中译印尼语每千字1000元</w:t>
      </w:r>
      <w:r>
        <w:rPr>
          <w:rFonts w:hint="eastAsia" w:ascii="宋体" w:hAnsi="宋体" w:eastAsia="宋体" w:cs="宋体"/>
          <w:sz w:val="24"/>
          <w:szCs w:val="24"/>
          <w:highlight w:val="none"/>
        </w:rPr>
        <w:t>。</w:t>
      </w:r>
      <w:bookmarkEnd w:id="1"/>
    </w:p>
    <w:bookmarkEnd w:id="2"/>
    <w:p w14:paraId="6F2AAB76">
      <w:pPr>
        <w:spacing w:line="560" w:lineRule="exact"/>
        <w:jc w:val="left"/>
        <w:rPr>
          <w:rFonts w:hint="eastAsia" w:ascii="宋体" w:hAnsi="宋体" w:eastAsia="宋体" w:cs="宋体"/>
          <w:sz w:val="24"/>
          <w:szCs w:val="24"/>
          <w:highlight w:val="none"/>
        </w:rPr>
      </w:pPr>
    </w:p>
    <w:p w14:paraId="5300C920">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（三）采购标的汇总表</w:t>
      </w:r>
    </w:p>
    <w:tbl>
      <w:tblPr>
        <w:tblStyle w:val="8"/>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54"/>
        <w:gridCol w:w="1453"/>
        <w:gridCol w:w="851"/>
        <w:gridCol w:w="1270"/>
        <w:gridCol w:w="1134"/>
        <w:gridCol w:w="1848"/>
      </w:tblGrid>
      <w:tr w14:paraId="7385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846" w:type="dxa"/>
            <w:vAlign w:val="center"/>
          </w:tcPr>
          <w:p w14:paraId="6030A2D2">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1954" w:type="dxa"/>
            <w:vAlign w:val="center"/>
          </w:tcPr>
          <w:p w14:paraId="44E33618">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453" w:type="dxa"/>
            <w:vAlign w:val="center"/>
          </w:tcPr>
          <w:p w14:paraId="5B9F0E75">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品目</w:t>
            </w:r>
          </w:p>
          <w:p w14:paraId="7FFA933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分类编码</w:t>
            </w:r>
          </w:p>
        </w:tc>
        <w:tc>
          <w:tcPr>
            <w:tcW w:w="851" w:type="dxa"/>
            <w:vAlign w:val="center"/>
          </w:tcPr>
          <w:p w14:paraId="4AEF8B36">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62BC80CA">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1270" w:type="dxa"/>
            <w:vAlign w:val="center"/>
          </w:tcPr>
          <w:p w14:paraId="74A5ADFB">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1134" w:type="dxa"/>
          </w:tcPr>
          <w:p w14:paraId="131065E8">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是否核心产品</w:t>
            </w:r>
          </w:p>
        </w:tc>
        <w:tc>
          <w:tcPr>
            <w:tcW w:w="1848" w:type="dxa"/>
          </w:tcPr>
          <w:p w14:paraId="77222229">
            <w:pPr>
              <w:spacing w:line="40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w:t>
            </w:r>
          </w:p>
        </w:tc>
      </w:tr>
      <w:tr w14:paraId="637B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624760F7">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954" w:type="dxa"/>
            <w:vAlign w:val="center"/>
          </w:tcPr>
          <w:p w14:paraId="675FC55C">
            <w:pPr>
              <w:adjustRightInd w:val="0"/>
              <w:snapToGrid w:val="0"/>
              <w:spacing w:line="560" w:lineRule="exact"/>
              <w:jc w:val="center"/>
              <w:rPr>
                <w:rFonts w:hint="eastAsia" w:ascii="宋体" w:hAnsi="宋体" w:eastAsia="宋体" w:cs="宋体"/>
                <w:bCs/>
                <w:i/>
                <w:sz w:val="24"/>
                <w:szCs w:val="24"/>
                <w:highlight w:val="none"/>
                <w:u w:val="single"/>
              </w:rPr>
            </w:pPr>
            <w:r>
              <w:rPr>
                <w:rFonts w:hint="eastAsia" w:ascii="宋体" w:hAnsi="宋体" w:eastAsia="宋体" w:cs="宋体"/>
                <w:bCs/>
                <w:iCs/>
                <w:sz w:val="24"/>
                <w:szCs w:val="24"/>
                <w:highlight w:val="none"/>
              </w:rPr>
              <w:t>中译英翻译服务</w:t>
            </w:r>
          </w:p>
        </w:tc>
        <w:tc>
          <w:tcPr>
            <w:tcW w:w="1453" w:type="dxa"/>
            <w:vAlign w:val="center"/>
          </w:tcPr>
          <w:p w14:paraId="60234E42">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457E332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157C948B">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464,000</w:t>
            </w:r>
          </w:p>
        </w:tc>
        <w:tc>
          <w:tcPr>
            <w:tcW w:w="1134" w:type="dxa"/>
          </w:tcPr>
          <w:p w14:paraId="675B4F44">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34FCDB71">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r w14:paraId="41DE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09A90864">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954" w:type="dxa"/>
            <w:vAlign w:val="center"/>
          </w:tcPr>
          <w:p w14:paraId="34B38838">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英译中翻译服务</w:t>
            </w:r>
          </w:p>
        </w:tc>
        <w:tc>
          <w:tcPr>
            <w:tcW w:w="1453" w:type="dxa"/>
            <w:vAlign w:val="center"/>
          </w:tcPr>
          <w:p w14:paraId="667DA668">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7D65CA5B">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4510F87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132,500</w:t>
            </w:r>
          </w:p>
        </w:tc>
        <w:tc>
          <w:tcPr>
            <w:tcW w:w="1134" w:type="dxa"/>
          </w:tcPr>
          <w:p w14:paraId="3718232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34086A2D">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每千字不高于800元</w:t>
            </w:r>
          </w:p>
        </w:tc>
      </w:tr>
      <w:tr w14:paraId="312A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00C7B34E">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954" w:type="dxa"/>
            <w:vAlign w:val="center"/>
          </w:tcPr>
          <w:p w14:paraId="08365709">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中译俄翻译服务</w:t>
            </w:r>
          </w:p>
        </w:tc>
        <w:tc>
          <w:tcPr>
            <w:tcW w:w="1453" w:type="dxa"/>
            <w:vAlign w:val="center"/>
          </w:tcPr>
          <w:p w14:paraId="27B5A16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7DFCD28D">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67265847">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34" w:type="dxa"/>
          </w:tcPr>
          <w:p w14:paraId="4515975A">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685C1F53">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r w14:paraId="22D8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4C2A1302">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954" w:type="dxa"/>
            <w:vAlign w:val="center"/>
          </w:tcPr>
          <w:p w14:paraId="05281A02">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中译阿拉伯语翻译服务</w:t>
            </w:r>
          </w:p>
        </w:tc>
        <w:tc>
          <w:tcPr>
            <w:tcW w:w="1453" w:type="dxa"/>
            <w:vAlign w:val="center"/>
          </w:tcPr>
          <w:p w14:paraId="6E7A6FE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6A22EA92">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588DC92A">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34" w:type="dxa"/>
          </w:tcPr>
          <w:p w14:paraId="526B4033">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778ACC9A">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r w14:paraId="6D90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56B401E7">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954" w:type="dxa"/>
            <w:vAlign w:val="center"/>
          </w:tcPr>
          <w:p w14:paraId="52B9E9F6">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中译葡萄牙语翻译服务</w:t>
            </w:r>
          </w:p>
        </w:tc>
        <w:tc>
          <w:tcPr>
            <w:tcW w:w="1453" w:type="dxa"/>
            <w:vAlign w:val="center"/>
          </w:tcPr>
          <w:p w14:paraId="4151638D">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6A64E240">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3B489CC6">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34" w:type="dxa"/>
          </w:tcPr>
          <w:p w14:paraId="6BB3248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528C5B21">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r w14:paraId="0281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692D886D">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954" w:type="dxa"/>
            <w:vAlign w:val="center"/>
          </w:tcPr>
          <w:p w14:paraId="12D7B51D">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中译土耳其语翻译服务</w:t>
            </w:r>
          </w:p>
        </w:tc>
        <w:tc>
          <w:tcPr>
            <w:tcW w:w="1453" w:type="dxa"/>
            <w:vAlign w:val="center"/>
          </w:tcPr>
          <w:p w14:paraId="784BC225">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0D63F084">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4E0EC128">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34" w:type="dxa"/>
          </w:tcPr>
          <w:p w14:paraId="2715072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6CBF5088">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r w14:paraId="15D8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46" w:type="dxa"/>
            <w:vAlign w:val="center"/>
          </w:tcPr>
          <w:p w14:paraId="383B7EA9">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954" w:type="dxa"/>
            <w:vAlign w:val="center"/>
          </w:tcPr>
          <w:p w14:paraId="5D76FC73">
            <w:pPr>
              <w:adjustRightInd w:val="0"/>
              <w:snapToGrid w:val="0"/>
              <w:spacing w:line="560" w:lineRule="exact"/>
              <w:jc w:val="center"/>
              <w:rPr>
                <w:rFonts w:hint="eastAsia" w:ascii="宋体" w:hAnsi="宋体" w:eastAsia="宋体" w:cs="宋体"/>
                <w:bCs/>
                <w:iCs/>
                <w:sz w:val="24"/>
                <w:szCs w:val="24"/>
                <w:highlight w:val="none"/>
              </w:rPr>
            </w:pPr>
            <w:r>
              <w:rPr>
                <w:rFonts w:hint="eastAsia" w:ascii="宋体" w:hAnsi="宋体" w:eastAsia="宋体" w:cs="宋体"/>
                <w:bCs/>
                <w:iCs/>
                <w:sz w:val="24"/>
                <w:szCs w:val="24"/>
                <w:highlight w:val="none"/>
              </w:rPr>
              <w:t>中译印尼语翻译服务</w:t>
            </w:r>
          </w:p>
        </w:tc>
        <w:tc>
          <w:tcPr>
            <w:tcW w:w="1453" w:type="dxa"/>
            <w:vAlign w:val="center"/>
          </w:tcPr>
          <w:p w14:paraId="38BFBD91">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C23190000</w:t>
            </w:r>
          </w:p>
        </w:tc>
        <w:tc>
          <w:tcPr>
            <w:tcW w:w="851" w:type="dxa"/>
            <w:vAlign w:val="center"/>
          </w:tcPr>
          <w:p w14:paraId="2ED82BD5">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字</w:t>
            </w:r>
          </w:p>
        </w:tc>
        <w:tc>
          <w:tcPr>
            <w:tcW w:w="1270" w:type="dxa"/>
            <w:vAlign w:val="center"/>
          </w:tcPr>
          <w:p w14:paraId="36166126">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2,000</w:t>
            </w:r>
          </w:p>
        </w:tc>
        <w:tc>
          <w:tcPr>
            <w:tcW w:w="1134" w:type="dxa"/>
          </w:tcPr>
          <w:p w14:paraId="1399AF52">
            <w:pPr>
              <w:adjustRightInd w:val="0"/>
              <w:snapToGrid w:val="0"/>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1848" w:type="dxa"/>
          </w:tcPr>
          <w:p w14:paraId="09E79F54">
            <w:pPr>
              <w:adjustRightInd w:val="0"/>
              <w:snapToGrid w:val="0"/>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每千字不高于1000元  </w:t>
            </w:r>
          </w:p>
        </w:tc>
      </w:tr>
    </w:tbl>
    <w:p w14:paraId="1E2C2A4A">
      <w:pPr>
        <w:spacing w:line="560" w:lineRule="exact"/>
        <w:ind w:firstLine="240" w:firstLineChars="100"/>
        <w:jc w:val="left"/>
        <w:rPr>
          <w:rFonts w:hint="eastAsia" w:ascii="宋体" w:hAnsi="宋体" w:eastAsia="宋体" w:cs="宋体"/>
          <w:iCs/>
          <w:sz w:val="24"/>
          <w:szCs w:val="24"/>
          <w:highlight w:val="none"/>
          <w:u w:val="single"/>
        </w:rPr>
      </w:pPr>
      <w:r>
        <w:rPr>
          <w:rFonts w:hint="eastAsia" w:ascii="宋体" w:hAnsi="宋体" w:eastAsia="宋体" w:cs="宋体"/>
          <w:iCs/>
          <w:sz w:val="24"/>
          <w:szCs w:val="24"/>
          <w:highlight w:val="none"/>
          <w:u w:val="single"/>
        </w:rPr>
        <w:t>注：以上数量为估算数量，仅用于本次招投标，具体数量以实际需求为准。</w:t>
      </w:r>
    </w:p>
    <w:p w14:paraId="1F5F25B0">
      <w:pPr>
        <w:spacing w:line="560" w:lineRule="exact"/>
        <w:jc w:val="left"/>
        <w:rPr>
          <w:rFonts w:hint="eastAsia" w:ascii="宋体" w:hAnsi="宋体" w:eastAsia="宋体" w:cs="宋体"/>
          <w:i/>
          <w:sz w:val="24"/>
          <w:szCs w:val="24"/>
          <w:highlight w:val="none"/>
          <w:u w:val="single"/>
        </w:rPr>
      </w:pPr>
    </w:p>
    <w:p w14:paraId="20358B62">
      <w:pPr>
        <w:numPr>
          <w:ilvl w:val="0"/>
          <w:numId w:val="10"/>
        </w:num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技术商务要求</w:t>
      </w:r>
    </w:p>
    <w:p w14:paraId="4130FC27">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（1）技术要求</w:t>
      </w:r>
    </w:p>
    <w:tbl>
      <w:tblPr>
        <w:tblStyle w:val="8"/>
        <w:tblW w:w="0" w:type="auto"/>
        <w:jc w:val="center"/>
        <w:tblLayout w:type="fixed"/>
        <w:tblCellMar>
          <w:top w:w="0" w:type="dxa"/>
          <w:left w:w="0" w:type="dxa"/>
          <w:bottom w:w="0" w:type="dxa"/>
          <w:right w:w="0" w:type="dxa"/>
        </w:tblCellMar>
      </w:tblPr>
      <w:tblGrid>
        <w:gridCol w:w="714"/>
        <w:gridCol w:w="915"/>
        <w:gridCol w:w="1845"/>
        <w:gridCol w:w="4830"/>
        <w:gridCol w:w="1145"/>
      </w:tblGrid>
      <w:tr w14:paraId="75E291F2">
        <w:tblPrEx>
          <w:tblCellMar>
            <w:top w:w="0" w:type="dxa"/>
            <w:left w:w="0" w:type="dxa"/>
            <w:bottom w:w="0" w:type="dxa"/>
            <w:right w:w="0" w:type="dxa"/>
          </w:tblCellMar>
        </w:tblPrEx>
        <w:trPr>
          <w:trHeight w:val="20" w:hRule="atLeast"/>
          <w:tblHeader/>
          <w:jc w:val="center"/>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3DEF">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915" w:type="dxa"/>
            <w:tcBorders>
              <w:top w:val="single" w:color="000000" w:sz="4" w:space="0"/>
              <w:left w:val="single" w:color="000000" w:sz="4" w:space="0"/>
              <w:bottom w:val="single" w:color="000000" w:sz="4" w:space="0"/>
              <w:right w:val="single" w:color="000000" w:sz="4" w:space="0"/>
            </w:tcBorders>
            <w:vAlign w:val="center"/>
          </w:tcPr>
          <w:p w14:paraId="14C2C488">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4C8F">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指标项</w:t>
            </w:r>
          </w:p>
        </w:tc>
        <w:tc>
          <w:tcPr>
            <w:tcW w:w="4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B170">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指标要求</w:t>
            </w:r>
          </w:p>
        </w:tc>
        <w:tc>
          <w:tcPr>
            <w:tcW w:w="1145" w:type="dxa"/>
            <w:tcBorders>
              <w:top w:val="single" w:color="000000" w:sz="4" w:space="0"/>
              <w:left w:val="single" w:color="000000" w:sz="4" w:space="0"/>
              <w:bottom w:val="single" w:color="000000" w:sz="4" w:space="0"/>
              <w:right w:val="single" w:color="000000" w:sz="4" w:space="0"/>
            </w:tcBorders>
            <w:vAlign w:val="center"/>
          </w:tcPr>
          <w:p w14:paraId="463EE4F6">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6CF03721">
        <w:tblPrEx>
          <w:tblCellMar>
            <w:top w:w="0" w:type="dxa"/>
            <w:left w:w="0" w:type="dxa"/>
            <w:bottom w:w="0" w:type="dxa"/>
            <w:right w:w="0"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1005F64A">
            <w:pPr>
              <w:widowControl/>
              <w:jc w:val="center"/>
              <w:textAlignment w:val="center"/>
              <w:rPr>
                <w:rFonts w:hint="eastAsia" w:ascii="宋体" w:hAnsi="宋体" w:eastAsia="宋体" w:cs="宋体"/>
                <w:sz w:val="24"/>
                <w:szCs w:val="24"/>
                <w:highlight w:val="none"/>
              </w:rPr>
            </w:pPr>
            <w:bookmarkStart w:id="3" w:name="_Hlk204236731"/>
            <w:r>
              <w:rPr>
                <w:rFonts w:hint="eastAsia" w:ascii="宋体" w:hAnsi="宋体" w:eastAsia="宋体" w:cs="宋体"/>
                <w:kern w:val="0"/>
                <w:sz w:val="24"/>
                <w:szCs w:val="24"/>
                <w:highlight w:val="none"/>
              </w:rPr>
              <w:t>1</w:t>
            </w:r>
          </w:p>
        </w:tc>
        <w:tc>
          <w:tcPr>
            <w:tcW w:w="915" w:type="dxa"/>
            <w:tcBorders>
              <w:top w:val="single" w:color="000000" w:sz="4" w:space="0"/>
              <w:left w:val="single" w:color="000000" w:sz="4" w:space="0"/>
              <w:bottom w:val="single" w:color="000000" w:sz="4" w:space="0"/>
              <w:right w:val="single" w:color="000000" w:sz="4" w:space="0"/>
            </w:tcBorders>
            <w:vAlign w:val="center"/>
          </w:tcPr>
          <w:p w14:paraId="4FC634A5">
            <w:pPr>
              <w:widowControl/>
              <w:textAlignment w:val="center"/>
              <w:rPr>
                <w:rFonts w:hint="eastAsia" w:ascii="宋体" w:hAnsi="宋体" w:eastAsia="宋体" w:cs="宋体"/>
                <w:i/>
                <w:iCs/>
                <w:sz w:val="24"/>
                <w:szCs w:val="24"/>
                <w:highlight w:val="none"/>
              </w:rPr>
            </w:pPr>
          </w:p>
          <w:p w14:paraId="01DE8DE3">
            <w:pPr>
              <w:widowControl/>
              <w:ind w:firstLine="360" w:firstLineChars="150"/>
              <w:textAlignment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45" w:type="dxa"/>
            <w:tcBorders>
              <w:top w:val="single" w:color="000000" w:sz="4" w:space="0"/>
              <w:left w:val="single" w:color="000000" w:sz="4" w:space="0"/>
              <w:bottom w:val="single" w:color="000000" w:sz="4" w:space="0"/>
              <w:right w:val="single" w:color="000000" w:sz="4" w:space="0"/>
            </w:tcBorders>
            <w:vAlign w:val="center"/>
          </w:tcPr>
          <w:p w14:paraId="51F5FF2D">
            <w:pPr>
              <w:widowControl/>
              <w:jc w:val="center"/>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翻译质量标准</w:t>
            </w:r>
          </w:p>
        </w:tc>
        <w:tc>
          <w:tcPr>
            <w:tcW w:w="4830" w:type="dxa"/>
            <w:tcBorders>
              <w:top w:val="single" w:color="000000" w:sz="4" w:space="0"/>
              <w:left w:val="single" w:color="000000" w:sz="4" w:space="0"/>
              <w:bottom w:val="single" w:color="000000" w:sz="4" w:space="0"/>
              <w:right w:val="single" w:color="000000" w:sz="4" w:space="0"/>
            </w:tcBorders>
            <w:vAlign w:val="center"/>
          </w:tcPr>
          <w:p w14:paraId="654B46A7">
            <w:pPr>
              <w:widowControl/>
              <w:spacing w:line="48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翻译服务符合中华人民共和国国家标准GB/T19363.1-2022《翻译服务 第1部门：笔译服务要求》相关规定。</w:t>
            </w:r>
          </w:p>
        </w:tc>
        <w:tc>
          <w:tcPr>
            <w:tcW w:w="1145" w:type="dxa"/>
            <w:tcBorders>
              <w:top w:val="single" w:color="000000" w:sz="4" w:space="0"/>
              <w:left w:val="single" w:color="000000" w:sz="4" w:space="0"/>
              <w:bottom w:val="single" w:color="000000" w:sz="4" w:space="0"/>
              <w:right w:val="single" w:color="000000" w:sz="4" w:space="0"/>
            </w:tcBorders>
          </w:tcPr>
          <w:p w14:paraId="13E25554">
            <w:pPr>
              <w:widowControl/>
              <w:ind w:firstLine="602" w:firstLineChars="251"/>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6E2CFAB0">
        <w:tblPrEx>
          <w:tblCellMar>
            <w:top w:w="0" w:type="dxa"/>
            <w:left w:w="0" w:type="dxa"/>
            <w:bottom w:w="0" w:type="dxa"/>
            <w:right w:w="0"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567FCEFE">
            <w:pPr>
              <w:widowControl/>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w:t>
            </w:r>
          </w:p>
        </w:tc>
        <w:tc>
          <w:tcPr>
            <w:tcW w:w="915" w:type="dxa"/>
            <w:tcBorders>
              <w:top w:val="single" w:color="000000" w:sz="4" w:space="0"/>
              <w:left w:val="single" w:color="000000" w:sz="4" w:space="0"/>
              <w:bottom w:val="single" w:color="000000" w:sz="4" w:space="0"/>
              <w:right w:val="single" w:color="000000" w:sz="4" w:space="0"/>
            </w:tcBorders>
            <w:vAlign w:val="center"/>
          </w:tcPr>
          <w:p w14:paraId="0034D698">
            <w:pPr>
              <w:widowControl/>
              <w:textAlignment w:val="center"/>
              <w:rPr>
                <w:rFonts w:hint="eastAsia" w:ascii="宋体" w:hAnsi="宋体" w:eastAsia="宋体" w:cs="宋体"/>
                <w:i/>
                <w:iCs/>
                <w:sz w:val="24"/>
                <w:szCs w:val="24"/>
                <w:highlight w:val="none"/>
              </w:rPr>
            </w:pPr>
          </w:p>
          <w:p w14:paraId="0619436A">
            <w:pPr>
              <w:widowControl/>
              <w:jc w:val="center"/>
              <w:textAlignment w:val="center"/>
              <w:rPr>
                <w:rFonts w:hint="eastAsia" w:ascii="宋体" w:hAnsi="宋体" w:eastAsia="宋体" w:cs="宋体"/>
                <w:i/>
                <w:iCs/>
                <w:sz w:val="24"/>
                <w:szCs w:val="24"/>
                <w:highlight w:val="none"/>
              </w:rPr>
            </w:pPr>
          </w:p>
          <w:p w14:paraId="123BE3D9">
            <w:pPr>
              <w:widowControl/>
              <w:jc w:val="center"/>
              <w:textAlignment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45" w:type="dxa"/>
            <w:tcBorders>
              <w:top w:val="single" w:color="000000" w:sz="4" w:space="0"/>
              <w:left w:val="single" w:color="000000" w:sz="4" w:space="0"/>
              <w:bottom w:val="single" w:color="000000" w:sz="4" w:space="0"/>
              <w:right w:val="single" w:color="000000" w:sz="4" w:space="0"/>
            </w:tcBorders>
            <w:vAlign w:val="center"/>
          </w:tcPr>
          <w:p w14:paraId="1EA0AF5F">
            <w:pPr>
              <w:widowControl/>
              <w:jc w:val="center"/>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译文质量要求</w:t>
            </w:r>
          </w:p>
        </w:tc>
        <w:tc>
          <w:tcPr>
            <w:tcW w:w="4830" w:type="dxa"/>
            <w:tcBorders>
              <w:top w:val="single" w:color="000000" w:sz="4" w:space="0"/>
              <w:left w:val="single" w:color="000000" w:sz="4" w:space="0"/>
              <w:bottom w:val="single" w:color="000000" w:sz="4" w:space="0"/>
              <w:right w:val="single" w:color="000000" w:sz="4" w:space="0"/>
            </w:tcBorders>
            <w:vAlign w:val="center"/>
          </w:tcPr>
          <w:p w14:paraId="15749144">
            <w:pPr>
              <w:widowControl/>
              <w:spacing w:line="48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译文应忠于原文准确翻译，不应出现技术性错误，不能与原文意思相悖，专业词语表述应准确一致；文字表述符合相关专业的表达习惯与要求，目标语言与源语言在行文风格上一致：符号、量和单位、公式和等式需按照译文的通常惯例或国家有关规定进行翻译或表达，译者的注释使用恰当。同一或同批稿件中前后用词或表达法须统一。</w:t>
            </w:r>
          </w:p>
        </w:tc>
        <w:tc>
          <w:tcPr>
            <w:tcW w:w="1145" w:type="dxa"/>
            <w:tcBorders>
              <w:top w:val="single" w:color="000000" w:sz="4" w:space="0"/>
              <w:left w:val="single" w:color="000000" w:sz="4" w:space="0"/>
              <w:bottom w:val="single" w:color="000000" w:sz="4" w:space="0"/>
              <w:right w:val="single" w:color="000000" w:sz="4" w:space="0"/>
            </w:tcBorders>
          </w:tcPr>
          <w:p w14:paraId="33F58CF2">
            <w:pPr>
              <w:widowControl/>
              <w:ind w:firstLine="600" w:firstLineChars="250"/>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3ACA3A94">
        <w:tblPrEx>
          <w:tblCellMar>
            <w:top w:w="0" w:type="dxa"/>
            <w:left w:w="0" w:type="dxa"/>
            <w:bottom w:w="0" w:type="dxa"/>
            <w:right w:w="0" w:type="dxa"/>
          </w:tblCellMar>
        </w:tblPrEx>
        <w:trPr>
          <w:trHeight w:val="20"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4E9A212B">
            <w:pPr>
              <w:jc w:val="center"/>
              <w:rPr>
                <w:rFonts w:hint="eastAsia" w:ascii="宋体" w:hAnsi="宋体" w:eastAsia="宋体" w:cs="宋体"/>
                <w:sz w:val="24"/>
                <w:szCs w:val="24"/>
                <w:highlight w:val="none"/>
              </w:rPr>
            </w:pPr>
          </w:p>
          <w:p w14:paraId="09F74E29">
            <w:pPr>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915" w:type="dxa"/>
            <w:tcBorders>
              <w:top w:val="single" w:color="000000" w:sz="4" w:space="0"/>
              <w:left w:val="single" w:color="000000" w:sz="4" w:space="0"/>
              <w:bottom w:val="single" w:color="000000" w:sz="4" w:space="0"/>
              <w:right w:val="single" w:color="000000" w:sz="4" w:space="0"/>
            </w:tcBorders>
            <w:vAlign w:val="center"/>
          </w:tcPr>
          <w:p w14:paraId="7487A563">
            <w:pPr>
              <w:jc w:val="both"/>
              <w:rPr>
                <w:rFonts w:hint="eastAsia" w:ascii="宋体" w:hAnsi="宋体" w:eastAsia="宋体" w:cs="宋体"/>
                <w:i/>
                <w:iCs/>
                <w:sz w:val="24"/>
                <w:szCs w:val="24"/>
                <w:highlight w:val="none"/>
              </w:rPr>
            </w:pPr>
          </w:p>
          <w:p w14:paraId="12E0C0F4">
            <w:pPr>
              <w:jc w:val="center"/>
              <w:rPr>
                <w:rFonts w:hint="eastAsia" w:ascii="宋体" w:hAnsi="宋体" w:eastAsia="宋体" w:cs="宋体"/>
                <w:i/>
                <w:iCs/>
                <w:sz w:val="24"/>
                <w:szCs w:val="24"/>
                <w:highlight w:val="none"/>
              </w:rPr>
            </w:pPr>
          </w:p>
          <w:p w14:paraId="5356F907">
            <w:pPr>
              <w:jc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845" w:type="dxa"/>
            <w:tcBorders>
              <w:top w:val="single" w:color="000000" w:sz="4" w:space="0"/>
              <w:left w:val="single" w:color="000000" w:sz="4" w:space="0"/>
              <w:bottom w:val="single" w:color="000000" w:sz="4" w:space="0"/>
              <w:right w:val="single" w:color="000000" w:sz="4" w:space="0"/>
            </w:tcBorders>
            <w:vAlign w:val="center"/>
          </w:tcPr>
          <w:p w14:paraId="5F4EFC00">
            <w:pPr>
              <w:jc w:val="center"/>
              <w:rPr>
                <w:rFonts w:hint="eastAsia" w:ascii="宋体" w:hAnsi="宋体" w:eastAsia="宋体" w:cs="宋体"/>
                <w:b/>
                <w:bCs/>
                <w:sz w:val="24"/>
                <w:szCs w:val="24"/>
                <w:highlight w:val="none"/>
              </w:rPr>
            </w:pPr>
          </w:p>
          <w:p w14:paraId="4BE36969">
            <w:pPr>
              <w:jc w:val="center"/>
              <w:rPr>
                <w:rFonts w:hint="eastAsia" w:ascii="宋体" w:hAnsi="宋体" w:eastAsia="宋体" w:cs="宋体"/>
                <w:b/>
                <w:bCs/>
                <w:sz w:val="24"/>
                <w:szCs w:val="24"/>
                <w:highlight w:val="none"/>
              </w:rPr>
            </w:pPr>
          </w:p>
          <w:p w14:paraId="4A9C57B6">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排版格式</w:t>
            </w:r>
          </w:p>
        </w:tc>
        <w:tc>
          <w:tcPr>
            <w:tcW w:w="4830" w:type="dxa"/>
            <w:tcBorders>
              <w:top w:val="single" w:color="000000" w:sz="4" w:space="0"/>
              <w:left w:val="single" w:color="000000" w:sz="4" w:space="0"/>
              <w:bottom w:val="single" w:color="000000" w:sz="4" w:space="0"/>
              <w:right w:val="single" w:color="000000" w:sz="4" w:space="0"/>
            </w:tcBorders>
            <w:vAlign w:val="center"/>
          </w:tcPr>
          <w:p w14:paraId="6ADDB69C">
            <w:pPr>
              <w:widowControl/>
              <w:spacing w:line="48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投标人须按原文档格式进行译文稿件的WORD、PPT文本排版编辑，包括图文、表格等的编辑、排版，最终完成稿件总体上应达到格式清晰、整齐，页面美观，整个文档风格统一。</w:t>
            </w:r>
          </w:p>
        </w:tc>
        <w:tc>
          <w:tcPr>
            <w:tcW w:w="1145" w:type="dxa"/>
            <w:tcBorders>
              <w:top w:val="single" w:color="000000" w:sz="4" w:space="0"/>
              <w:left w:val="single" w:color="000000" w:sz="4" w:space="0"/>
              <w:bottom w:val="single" w:color="000000" w:sz="4" w:space="0"/>
              <w:right w:val="single" w:color="000000" w:sz="4" w:space="0"/>
            </w:tcBorders>
          </w:tcPr>
          <w:p w14:paraId="56B3622D">
            <w:pPr>
              <w:widowControl/>
              <w:ind w:firstLine="480" w:firstLineChars="200"/>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3AF21266">
        <w:tblPrEx>
          <w:tblCellMar>
            <w:top w:w="0" w:type="dxa"/>
            <w:left w:w="0" w:type="dxa"/>
            <w:bottom w:w="0" w:type="dxa"/>
            <w:right w:w="0"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7B361E9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915" w:type="dxa"/>
            <w:tcBorders>
              <w:top w:val="single" w:color="000000" w:sz="4" w:space="0"/>
              <w:left w:val="single" w:color="000000" w:sz="4" w:space="0"/>
              <w:bottom w:val="single" w:color="000000" w:sz="4" w:space="0"/>
              <w:right w:val="single" w:color="000000" w:sz="4" w:space="0"/>
            </w:tcBorders>
            <w:vAlign w:val="center"/>
          </w:tcPr>
          <w:p w14:paraId="6641B850">
            <w:pPr>
              <w:rPr>
                <w:rFonts w:hint="eastAsia" w:ascii="宋体" w:hAnsi="宋体" w:eastAsia="宋体" w:cs="宋体"/>
                <w:i/>
                <w:iCs/>
                <w:sz w:val="24"/>
                <w:szCs w:val="24"/>
                <w:highlight w:val="none"/>
              </w:rPr>
            </w:pPr>
          </w:p>
          <w:p w14:paraId="0248CD54">
            <w:pP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 xml:space="preserve">   ★</w:t>
            </w:r>
          </w:p>
        </w:tc>
        <w:tc>
          <w:tcPr>
            <w:tcW w:w="1845" w:type="dxa"/>
            <w:tcBorders>
              <w:top w:val="single" w:color="000000" w:sz="4" w:space="0"/>
              <w:left w:val="single" w:color="000000" w:sz="4" w:space="0"/>
              <w:bottom w:val="single" w:color="000000" w:sz="4" w:space="0"/>
              <w:right w:val="single" w:color="000000" w:sz="4" w:space="0"/>
            </w:tcBorders>
            <w:vAlign w:val="center"/>
          </w:tcPr>
          <w:p w14:paraId="3DF9B115">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保密要求</w:t>
            </w:r>
          </w:p>
        </w:tc>
        <w:tc>
          <w:tcPr>
            <w:tcW w:w="4830" w:type="dxa"/>
            <w:tcBorders>
              <w:top w:val="single" w:color="000000" w:sz="4" w:space="0"/>
              <w:left w:val="single" w:color="000000" w:sz="4" w:space="0"/>
              <w:bottom w:val="single" w:color="000000" w:sz="4" w:space="0"/>
              <w:right w:val="single" w:color="000000" w:sz="4" w:space="0"/>
            </w:tcBorders>
            <w:vAlign w:val="center"/>
          </w:tcPr>
          <w:p w14:paraId="2F0B5ADC">
            <w:pP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投标人须采取严密的防范措施防止稿件相关信息的泄露，未经招标人允许，不得将稿件内容透露给第三方。</w:t>
            </w:r>
          </w:p>
        </w:tc>
        <w:tc>
          <w:tcPr>
            <w:tcW w:w="1145" w:type="dxa"/>
            <w:tcBorders>
              <w:top w:val="single" w:color="000000" w:sz="4" w:space="0"/>
              <w:left w:val="single" w:color="000000" w:sz="4" w:space="0"/>
              <w:bottom w:val="single" w:color="000000" w:sz="4" w:space="0"/>
              <w:right w:val="single" w:color="000000" w:sz="4" w:space="0"/>
            </w:tcBorders>
          </w:tcPr>
          <w:p w14:paraId="61A96770">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否</w:t>
            </w:r>
          </w:p>
        </w:tc>
      </w:tr>
      <w:tr w14:paraId="60B76917">
        <w:tblPrEx>
          <w:tblCellMar>
            <w:top w:w="0" w:type="dxa"/>
            <w:left w:w="0" w:type="dxa"/>
            <w:bottom w:w="0" w:type="dxa"/>
            <w:right w:w="0" w:type="dxa"/>
          </w:tblCellMar>
        </w:tblPrEx>
        <w:trPr>
          <w:trHeight w:val="312"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14:paraId="73B89D4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915" w:type="dxa"/>
            <w:tcBorders>
              <w:top w:val="single" w:color="000000" w:sz="4" w:space="0"/>
              <w:left w:val="single" w:color="000000" w:sz="4" w:space="0"/>
              <w:bottom w:val="single" w:color="000000" w:sz="4" w:space="0"/>
              <w:right w:val="single" w:color="000000" w:sz="4" w:space="0"/>
            </w:tcBorders>
            <w:vAlign w:val="center"/>
          </w:tcPr>
          <w:p w14:paraId="0C77B9C4">
            <w:pPr>
              <w:rPr>
                <w:rFonts w:hint="eastAsia" w:ascii="宋体" w:hAnsi="宋体" w:eastAsia="宋体" w:cs="宋体"/>
                <w:i/>
                <w:iCs/>
                <w:sz w:val="24"/>
                <w:szCs w:val="24"/>
                <w:highlight w:val="none"/>
              </w:rPr>
            </w:pPr>
          </w:p>
          <w:p w14:paraId="681E5490">
            <w:pPr>
              <w:ind w:firstLine="360" w:firstLineChars="150"/>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845" w:type="dxa"/>
            <w:tcBorders>
              <w:top w:val="single" w:color="000000" w:sz="4" w:space="0"/>
              <w:left w:val="single" w:color="000000" w:sz="4" w:space="0"/>
              <w:bottom w:val="single" w:color="000000" w:sz="4" w:space="0"/>
              <w:right w:val="single" w:color="000000" w:sz="4" w:space="0"/>
            </w:tcBorders>
            <w:vAlign w:val="center"/>
          </w:tcPr>
          <w:p w14:paraId="6E9F19A3">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权利归属</w:t>
            </w:r>
          </w:p>
        </w:tc>
        <w:tc>
          <w:tcPr>
            <w:tcW w:w="4830" w:type="dxa"/>
            <w:tcBorders>
              <w:top w:val="single" w:color="000000" w:sz="4" w:space="0"/>
              <w:left w:val="single" w:color="000000" w:sz="4" w:space="0"/>
              <w:bottom w:val="single" w:color="000000" w:sz="4" w:space="0"/>
              <w:right w:val="single" w:color="000000" w:sz="4" w:space="0"/>
            </w:tcBorders>
            <w:vAlign w:val="center"/>
          </w:tcPr>
          <w:p w14:paraId="68A76FAF">
            <w:pP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翻译服务过程中产生的著作权及相关衍生权利均归上海黄金交易所或上海国际黄金交易中心有限公司所有。</w:t>
            </w:r>
          </w:p>
        </w:tc>
        <w:tc>
          <w:tcPr>
            <w:tcW w:w="1145" w:type="dxa"/>
            <w:tcBorders>
              <w:top w:val="single" w:color="000000" w:sz="4" w:space="0"/>
              <w:left w:val="single" w:color="000000" w:sz="4" w:space="0"/>
              <w:bottom w:val="single" w:color="000000" w:sz="4" w:space="0"/>
              <w:right w:val="single" w:color="000000" w:sz="4" w:space="0"/>
            </w:tcBorders>
          </w:tcPr>
          <w:p w14:paraId="7A7474F2">
            <w:pP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否</w:t>
            </w:r>
          </w:p>
        </w:tc>
      </w:tr>
      <w:bookmarkEnd w:id="3"/>
    </w:tbl>
    <w:p w14:paraId="774776E3">
      <w:pPr>
        <w:spacing w:line="560" w:lineRule="exact"/>
        <w:ind w:firstLine="480" w:firstLineChars="200"/>
        <w:jc w:val="left"/>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（2）商务要求</w:t>
      </w:r>
    </w:p>
    <w:p w14:paraId="0BA8D303">
      <w:pPr>
        <w:spacing w:line="360" w:lineRule="auto"/>
        <w:ind w:firstLine="720" w:firstLineChars="300"/>
        <w:rPr>
          <w:rFonts w:hint="eastAsia" w:ascii="宋体" w:hAnsi="宋体" w:eastAsia="宋体" w:cs="宋体"/>
          <w:iCs/>
          <w:sz w:val="24"/>
          <w:szCs w:val="24"/>
          <w:highlight w:val="none"/>
        </w:rPr>
      </w:pPr>
      <w:r>
        <w:rPr>
          <w:rFonts w:hint="eastAsia" w:ascii="宋体" w:hAnsi="宋体" w:eastAsia="宋体" w:cs="宋体"/>
          <w:iCs/>
          <w:sz w:val="24"/>
          <w:szCs w:val="24"/>
          <w:highlight w:val="none"/>
        </w:rPr>
        <w:t>A、服务要求</w:t>
      </w:r>
    </w:p>
    <w:tbl>
      <w:tblPr>
        <w:tblStyle w:val="8"/>
        <w:tblW w:w="0" w:type="auto"/>
        <w:tblInd w:w="0" w:type="dxa"/>
        <w:tblLayout w:type="autofit"/>
        <w:tblCellMar>
          <w:top w:w="0" w:type="dxa"/>
          <w:left w:w="0" w:type="dxa"/>
          <w:bottom w:w="0" w:type="dxa"/>
          <w:right w:w="0" w:type="dxa"/>
        </w:tblCellMar>
      </w:tblPr>
      <w:tblGrid>
        <w:gridCol w:w="614"/>
        <w:gridCol w:w="885"/>
        <w:gridCol w:w="1335"/>
        <w:gridCol w:w="5525"/>
        <w:gridCol w:w="1211"/>
      </w:tblGrid>
      <w:tr w14:paraId="232EC07A">
        <w:tblPrEx>
          <w:tblCellMar>
            <w:top w:w="0" w:type="dxa"/>
            <w:left w:w="0" w:type="dxa"/>
            <w:bottom w:w="0" w:type="dxa"/>
            <w:right w:w="0" w:type="dxa"/>
          </w:tblCellMar>
        </w:tblPrEx>
        <w:trPr>
          <w:trHeight w:val="90" w:hRule="atLeast"/>
          <w:tblHeader/>
        </w:trPr>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C6F8">
            <w:pPr>
              <w:widowControl/>
              <w:spacing w:line="560" w:lineRule="exact"/>
              <w:textAlignment w:val="center"/>
              <w:rPr>
                <w:rFonts w:hint="eastAsia" w:ascii="宋体" w:hAnsi="宋体" w:eastAsia="宋体" w:cs="宋体"/>
                <w:b/>
                <w:sz w:val="24"/>
                <w:szCs w:val="24"/>
                <w:highlight w:val="none"/>
              </w:rPr>
            </w:pPr>
            <w:bookmarkStart w:id="4" w:name="_Hlk204236861"/>
            <w:r>
              <w:rPr>
                <w:rFonts w:hint="eastAsia" w:ascii="宋体" w:hAnsi="宋体" w:eastAsia="宋体" w:cs="宋体"/>
                <w:b/>
                <w:kern w:val="0"/>
                <w:sz w:val="24"/>
                <w:szCs w:val="24"/>
                <w:highlight w:val="none"/>
              </w:rPr>
              <w:t>序号</w:t>
            </w:r>
          </w:p>
        </w:tc>
        <w:tc>
          <w:tcPr>
            <w:tcW w:w="885" w:type="dxa"/>
            <w:tcBorders>
              <w:top w:val="single" w:color="000000" w:sz="4" w:space="0"/>
              <w:left w:val="single" w:color="000000" w:sz="4" w:space="0"/>
              <w:bottom w:val="single" w:color="000000" w:sz="4" w:space="0"/>
              <w:right w:val="single" w:color="000000" w:sz="4" w:space="0"/>
            </w:tcBorders>
            <w:vAlign w:val="center"/>
          </w:tcPr>
          <w:p w14:paraId="19E510BB">
            <w:pPr>
              <w:widowControl/>
              <w:spacing w:line="720" w:lineRule="auto"/>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9A59">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内容</w:t>
            </w:r>
          </w:p>
        </w:tc>
        <w:tc>
          <w:tcPr>
            <w:tcW w:w="5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F596">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服务要求标准</w:t>
            </w:r>
          </w:p>
        </w:tc>
        <w:tc>
          <w:tcPr>
            <w:tcW w:w="1211" w:type="dxa"/>
            <w:tcBorders>
              <w:top w:val="single" w:color="000000" w:sz="4" w:space="0"/>
              <w:left w:val="single" w:color="000000" w:sz="4" w:space="0"/>
              <w:bottom w:val="single" w:color="000000" w:sz="4" w:space="0"/>
              <w:right w:val="single" w:color="000000" w:sz="4" w:space="0"/>
            </w:tcBorders>
            <w:vAlign w:val="center"/>
          </w:tcPr>
          <w:p w14:paraId="1C2A709C">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773C5810">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tcPr>
          <w:p w14:paraId="539ADDD0">
            <w:pPr>
              <w:widowControl/>
              <w:spacing w:line="560" w:lineRule="exact"/>
              <w:jc w:val="left"/>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一、服务总体要求</w:t>
            </w:r>
          </w:p>
        </w:tc>
      </w:tr>
      <w:tr w14:paraId="4A4E0F64">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10B666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0D6482B8">
            <w:pPr>
              <w:widowControl/>
              <w:spacing w:line="560" w:lineRule="exact"/>
              <w:textAlignment w:val="center"/>
              <w:rPr>
                <w:rFonts w:hint="eastAsia" w:ascii="宋体" w:hAnsi="宋体" w:eastAsia="宋体" w:cs="宋体"/>
                <w:i/>
                <w:iCs/>
                <w:sz w:val="24"/>
                <w:szCs w:val="24"/>
                <w:highlight w:val="none"/>
              </w:rPr>
            </w:pPr>
          </w:p>
          <w:p w14:paraId="63F785A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29CEB248">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服务内容</w:t>
            </w:r>
          </w:p>
        </w:tc>
        <w:tc>
          <w:tcPr>
            <w:tcW w:w="5525" w:type="dxa"/>
            <w:tcBorders>
              <w:top w:val="single" w:color="000000" w:sz="4" w:space="0"/>
              <w:left w:val="single" w:color="000000" w:sz="4" w:space="0"/>
              <w:bottom w:val="single" w:color="000000" w:sz="4" w:space="0"/>
              <w:right w:val="single" w:color="000000" w:sz="4" w:space="0"/>
            </w:tcBorders>
            <w:vAlign w:val="center"/>
          </w:tcPr>
          <w:p w14:paraId="799A357E">
            <w:pPr>
              <w:widowControl/>
              <w:tabs>
                <w:tab w:val="left" w:pos="3780"/>
              </w:tabs>
              <w:spacing w:line="480" w:lineRule="exact"/>
              <w:ind w:left="210" w:leftChars="100" w:right="105" w:rightChars="50" w:firstLine="11"/>
              <w:textAlignment w:val="center"/>
              <w:rPr>
                <w:rFonts w:hint="eastAsia" w:ascii="宋体" w:hAnsi="宋体" w:eastAsia="宋体" w:cs="宋体"/>
                <w:sz w:val="24"/>
                <w:szCs w:val="24"/>
                <w:highlight w:val="none"/>
              </w:rPr>
            </w:pPr>
            <w:bookmarkStart w:id="5" w:name="_Hlk204096605"/>
            <w:r>
              <w:rPr>
                <w:rFonts w:hint="eastAsia" w:ascii="宋体" w:hAnsi="宋体" w:eastAsia="宋体" w:cs="宋体"/>
                <w:sz w:val="24"/>
                <w:szCs w:val="24"/>
                <w:highlight w:val="none"/>
              </w:rPr>
              <w:t>投标人须为上海黄金交易所及上海国际黄金交易中心有限公司分别提供交易规则、宣传文件、研究报告、法律文件、信息技术文件及其他文件的中英文翻译服务，以及</w:t>
            </w:r>
            <w:r>
              <w:rPr>
                <w:rFonts w:hint="eastAsia" w:ascii="宋体" w:hAnsi="宋体" w:eastAsia="宋体" w:cs="宋体"/>
                <w:bCs/>
                <w:iCs/>
                <w:sz w:val="24"/>
                <w:szCs w:val="24"/>
                <w:highlight w:val="none"/>
              </w:rPr>
              <w:t>中-俄文、中-阿拉伯语、中-葡萄牙语、中-土耳其语、中-印尼语</w:t>
            </w:r>
            <w:r>
              <w:rPr>
                <w:rFonts w:hint="eastAsia" w:ascii="宋体" w:hAnsi="宋体" w:eastAsia="宋体" w:cs="宋体"/>
                <w:sz w:val="24"/>
                <w:szCs w:val="24"/>
                <w:highlight w:val="none"/>
              </w:rPr>
              <w:t>翻译服务</w:t>
            </w:r>
            <w:r>
              <w:rPr>
                <w:rFonts w:hint="eastAsia" w:ascii="宋体" w:hAnsi="宋体" w:eastAsia="宋体" w:cs="宋体"/>
                <w:bCs/>
                <w:kern w:val="0"/>
                <w:sz w:val="24"/>
                <w:szCs w:val="24"/>
                <w:highlight w:val="none"/>
              </w:rPr>
              <w:t>。</w:t>
            </w:r>
          </w:p>
          <w:p w14:paraId="2C030B9A">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a.交易规则是指：交易所或其他公司发布的各类交易规则、细则、管理办法等。</w:t>
            </w:r>
          </w:p>
          <w:p w14:paraId="0BE0CAEC">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b.宣传文件是指：交易所或其他公司发布的公司的年报、各类业务宣传材料、市场推介PPT及领导致辞/发言/主持稿等。</w:t>
            </w:r>
          </w:p>
          <w:p w14:paraId="49D56725">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c.研究报告是指：交易所或其他公司发布的市场发展或研究报告。</w:t>
            </w:r>
          </w:p>
          <w:p w14:paraId="1AE2E51D">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d.法律文件是指：各类协议及相关国家机关发布的法律、条例、办法以及为处理公务而发出的文件、文书、公文等。</w:t>
            </w:r>
          </w:p>
          <w:p w14:paraId="0D7C47E1">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e.信息技术文件是指：与系统开发有关的系统操作手册、系统维护管理内容、技术开发文档和系统使用有关的系统界面功能菜单和报错提示等文件。</w:t>
            </w:r>
          </w:p>
          <w:p w14:paraId="73DE3B02">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f.其他文件是指:除a-e项以外须进行翻译的金融及商业文件。</w:t>
            </w:r>
          </w:p>
          <w:bookmarkEnd w:id="5"/>
          <w:p w14:paraId="2F8AA560">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语言方向：</w:t>
            </w:r>
            <w:r>
              <w:rPr>
                <w:rFonts w:hint="eastAsia" w:ascii="宋体" w:hAnsi="宋体" w:eastAsia="宋体" w:cs="宋体"/>
                <w:bCs/>
                <w:kern w:val="0"/>
                <w:sz w:val="24"/>
                <w:szCs w:val="24"/>
                <w:highlight w:val="none"/>
              </w:rPr>
              <w:t>中译英、英译中、</w:t>
            </w:r>
            <w:r>
              <w:rPr>
                <w:rFonts w:hint="eastAsia" w:ascii="宋体" w:hAnsi="宋体" w:eastAsia="宋体" w:cs="宋体"/>
                <w:bCs/>
                <w:iCs/>
                <w:sz w:val="24"/>
                <w:szCs w:val="24"/>
                <w:highlight w:val="none"/>
              </w:rPr>
              <w:t>中译俄、中译阿拉伯语、中译葡萄牙语、中译土耳其语、中译印尼语</w:t>
            </w:r>
          </w:p>
        </w:tc>
        <w:tc>
          <w:tcPr>
            <w:tcW w:w="1211" w:type="dxa"/>
            <w:tcBorders>
              <w:top w:val="single" w:color="000000" w:sz="4" w:space="0"/>
              <w:left w:val="single" w:color="000000" w:sz="4" w:space="0"/>
              <w:bottom w:val="single" w:color="000000" w:sz="4" w:space="0"/>
              <w:right w:val="single" w:color="000000" w:sz="4" w:space="0"/>
            </w:tcBorders>
            <w:vAlign w:val="center"/>
          </w:tcPr>
          <w:p w14:paraId="74F7323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59F48B1">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2FB15E2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885" w:type="dxa"/>
            <w:tcBorders>
              <w:top w:val="single" w:color="000000" w:sz="4" w:space="0"/>
              <w:left w:val="single" w:color="000000" w:sz="4" w:space="0"/>
              <w:bottom w:val="single" w:color="000000" w:sz="4" w:space="0"/>
              <w:right w:val="single" w:color="000000" w:sz="4" w:space="0"/>
            </w:tcBorders>
            <w:vAlign w:val="center"/>
          </w:tcPr>
          <w:p w14:paraId="4275A415">
            <w:pPr>
              <w:widowControl/>
              <w:spacing w:line="560" w:lineRule="exact"/>
              <w:textAlignment w:val="center"/>
              <w:rPr>
                <w:rFonts w:hint="eastAsia" w:ascii="宋体" w:hAnsi="宋体" w:eastAsia="宋体" w:cs="宋体"/>
                <w:i/>
                <w:iCs/>
                <w:sz w:val="24"/>
                <w:szCs w:val="24"/>
                <w:highlight w:val="none"/>
              </w:rPr>
            </w:pPr>
          </w:p>
          <w:p w14:paraId="36249006">
            <w:pPr>
              <w:widowControl/>
              <w:spacing w:line="560" w:lineRule="exact"/>
              <w:ind w:firstLine="480" w:firstLineChars="200"/>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33B5FA37">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合同签订要求</w:t>
            </w:r>
          </w:p>
        </w:tc>
        <w:tc>
          <w:tcPr>
            <w:tcW w:w="5525" w:type="dxa"/>
            <w:tcBorders>
              <w:top w:val="single" w:color="000000" w:sz="4" w:space="0"/>
              <w:left w:val="single" w:color="000000" w:sz="4" w:space="0"/>
              <w:bottom w:val="single" w:color="000000" w:sz="4" w:space="0"/>
              <w:right w:val="single" w:color="000000" w:sz="4" w:space="0"/>
            </w:tcBorders>
            <w:vAlign w:val="center"/>
          </w:tcPr>
          <w:p w14:paraId="674CE71F">
            <w:pPr>
              <w:widowControl/>
              <w:tabs>
                <w:tab w:val="left" w:pos="3780"/>
              </w:tabs>
              <w:spacing w:line="480" w:lineRule="exact"/>
              <w:ind w:left="210" w:leftChars="100" w:right="105" w:rightChars="50" w:firstLine="11"/>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中标人须分别与上海黄金交易所及上海国际黄金交易中心有限公司签订合同。其中，与上海黄金交易所签订的合同金额不超过人民币50万元，与上海国际黄金交易中心有限公司签订的合同金额不超过人民币8万元。</w:t>
            </w:r>
          </w:p>
        </w:tc>
        <w:tc>
          <w:tcPr>
            <w:tcW w:w="1211" w:type="dxa"/>
            <w:tcBorders>
              <w:top w:val="single" w:color="000000" w:sz="4" w:space="0"/>
              <w:left w:val="single" w:color="000000" w:sz="4" w:space="0"/>
              <w:bottom w:val="single" w:color="000000" w:sz="4" w:space="0"/>
              <w:right w:val="single" w:color="000000" w:sz="4" w:space="0"/>
            </w:tcBorders>
            <w:vAlign w:val="center"/>
          </w:tcPr>
          <w:p w14:paraId="0C4B739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5A4B0C7">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0AB49568">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vAlign w:val="center"/>
          </w:tcPr>
          <w:p w14:paraId="4CD467DC">
            <w:pPr>
              <w:widowControl/>
              <w:spacing w:line="560" w:lineRule="exact"/>
              <w:ind w:firstLine="480" w:firstLineChars="200"/>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0BA13BCA">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服务期限</w:t>
            </w:r>
          </w:p>
        </w:tc>
        <w:tc>
          <w:tcPr>
            <w:tcW w:w="5525" w:type="dxa"/>
            <w:tcBorders>
              <w:top w:val="single" w:color="000000" w:sz="4" w:space="0"/>
              <w:left w:val="single" w:color="000000" w:sz="4" w:space="0"/>
              <w:bottom w:val="single" w:color="000000" w:sz="4" w:space="0"/>
              <w:right w:val="single" w:color="000000" w:sz="4" w:space="0"/>
            </w:tcBorders>
            <w:vAlign w:val="center"/>
          </w:tcPr>
          <w:p w14:paraId="437F7831">
            <w:pPr>
              <w:widowControl/>
              <w:tabs>
                <w:tab w:val="left" w:pos="3780"/>
              </w:tabs>
              <w:spacing w:line="480" w:lineRule="exact"/>
              <w:ind w:left="210" w:leftChars="100" w:right="105" w:rightChars="50" w:firstLine="11"/>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服务期限为两年，自2026年1月1日至2027年12月31日止。</w:t>
            </w:r>
          </w:p>
        </w:tc>
        <w:tc>
          <w:tcPr>
            <w:tcW w:w="1211" w:type="dxa"/>
            <w:tcBorders>
              <w:top w:val="single" w:color="000000" w:sz="4" w:space="0"/>
              <w:left w:val="single" w:color="000000" w:sz="4" w:space="0"/>
              <w:bottom w:val="single" w:color="000000" w:sz="4" w:space="0"/>
              <w:right w:val="single" w:color="000000" w:sz="4" w:space="0"/>
            </w:tcBorders>
            <w:vAlign w:val="center"/>
          </w:tcPr>
          <w:p w14:paraId="0C32D86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C9903C0">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tcPr>
          <w:p w14:paraId="6A1E6F19">
            <w:pPr>
              <w:pStyle w:val="14"/>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交付要求</w:t>
            </w:r>
          </w:p>
        </w:tc>
      </w:tr>
      <w:tr w14:paraId="32C22950">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0531A54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5C9E8E66">
            <w:pPr>
              <w:widowControl/>
              <w:spacing w:line="560" w:lineRule="exact"/>
              <w:textAlignment w:val="center"/>
              <w:rPr>
                <w:rFonts w:hint="eastAsia" w:ascii="宋体" w:hAnsi="宋体" w:eastAsia="宋体" w:cs="宋体"/>
                <w:i/>
                <w:iCs/>
                <w:sz w:val="24"/>
                <w:szCs w:val="24"/>
                <w:highlight w:val="none"/>
              </w:rPr>
            </w:pPr>
          </w:p>
          <w:p w14:paraId="49C9D7B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5F6465B5">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交付时间</w:t>
            </w:r>
          </w:p>
        </w:tc>
        <w:tc>
          <w:tcPr>
            <w:tcW w:w="5525" w:type="dxa"/>
            <w:tcBorders>
              <w:top w:val="single" w:color="000000" w:sz="4" w:space="0"/>
              <w:left w:val="single" w:color="000000" w:sz="4" w:space="0"/>
              <w:bottom w:val="single" w:color="000000" w:sz="4" w:space="0"/>
              <w:right w:val="single" w:color="000000" w:sz="4" w:space="0"/>
            </w:tcBorders>
            <w:vAlign w:val="center"/>
          </w:tcPr>
          <w:p w14:paraId="299ECABD">
            <w:pPr>
              <w:widowControl/>
              <w:tabs>
                <w:tab w:val="left" w:pos="3780"/>
              </w:tabs>
              <w:spacing w:line="480" w:lineRule="exact"/>
              <w:ind w:left="210" w:leftChars="100" w:right="105" w:rightChars="50" w:firstLine="11"/>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翻译件在3000字以内能确保在收件后2个工作日（含收件</w:t>
            </w:r>
            <w:r>
              <w:rPr>
                <w:rFonts w:hint="eastAsia" w:ascii="宋体" w:hAnsi="宋体" w:eastAsia="宋体" w:cs="宋体"/>
                <w:sz w:val="24"/>
                <w:szCs w:val="24"/>
                <w:highlight w:val="none"/>
              </w:rPr>
              <w:t>当日，下同）内交件；10,000字以内能确保在收件后5个工作日内交件；字数N大于10,000字的文件应在(N/10000)*7个工作日内交付。</w:t>
            </w:r>
          </w:p>
        </w:tc>
        <w:tc>
          <w:tcPr>
            <w:tcW w:w="1211" w:type="dxa"/>
            <w:tcBorders>
              <w:top w:val="single" w:color="000000" w:sz="4" w:space="0"/>
              <w:left w:val="single" w:color="000000" w:sz="4" w:space="0"/>
              <w:bottom w:val="single" w:color="000000" w:sz="4" w:space="0"/>
              <w:right w:val="single" w:color="000000" w:sz="4" w:space="0"/>
            </w:tcBorders>
            <w:vAlign w:val="center"/>
          </w:tcPr>
          <w:p w14:paraId="4BD4836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38FCF2D">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5DB7B78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885" w:type="dxa"/>
            <w:tcBorders>
              <w:top w:val="single" w:color="000000" w:sz="4" w:space="0"/>
              <w:left w:val="single" w:color="000000" w:sz="4" w:space="0"/>
              <w:bottom w:val="single" w:color="000000" w:sz="4" w:space="0"/>
              <w:right w:val="single" w:color="000000" w:sz="4" w:space="0"/>
            </w:tcBorders>
          </w:tcPr>
          <w:p w14:paraId="6C09A61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4935A29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交付地点</w:t>
            </w:r>
          </w:p>
        </w:tc>
        <w:tc>
          <w:tcPr>
            <w:tcW w:w="5525" w:type="dxa"/>
            <w:tcBorders>
              <w:top w:val="single" w:color="000000" w:sz="4" w:space="0"/>
              <w:left w:val="single" w:color="000000" w:sz="4" w:space="0"/>
              <w:bottom w:val="single" w:color="000000" w:sz="4" w:space="0"/>
              <w:right w:val="single" w:color="000000" w:sz="4" w:space="0"/>
            </w:tcBorders>
            <w:vAlign w:val="center"/>
          </w:tcPr>
          <w:p w14:paraId="29AB336E">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上海</w:t>
            </w:r>
          </w:p>
        </w:tc>
        <w:tc>
          <w:tcPr>
            <w:tcW w:w="1211" w:type="dxa"/>
            <w:tcBorders>
              <w:top w:val="single" w:color="000000" w:sz="4" w:space="0"/>
              <w:left w:val="single" w:color="000000" w:sz="4" w:space="0"/>
              <w:bottom w:val="single" w:color="000000" w:sz="4" w:space="0"/>
              <w:right w:val="single" w:color="000000" w:sz="4" w:space="0"/>
            </w:tcBorders>
            <w:vAlign w:val="center"/>
          </w:tcPr>
          <w:p w14:paraId="27E0BBC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34928A2F">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tcPr>
          <w:p w14:paraId="6F0BD90C">
            <w:pPr>
              <w:pStyle w:val="14"/>
              <w:widowControl/>
              <w:numPr>
                <w:ilvl w:val="0"/>
                <w:numId w:val="11"/>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服务人员要求</w:t>
            </w:r>
          </w:p>
        </w:tc>
      </w:tr>
      <w:tr w14:paraId="6EEE8280">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74CC0B68">
            <w:pPr>
              <w:widowControl/>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52DE88EB">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3E378E3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项目经理</w:t>
            </w:r>
          </w:p>
        </w:tc>
        <w:tc>
          <w:tcPr>
            <w:tcW w:w="5525" w:type="dxa"/>
            <w:tcBorders>
              <w:top w:val="single" w:color="000000" w:sz="4" w:space="0"/>
              <w:left w:val="single" w:color="000000" w:sz="4" w:space="0"/>
              <w:bottom w:val="single" w:color="000000" w:sz="4" w:space="0"/>
              <w:right w:val="single" w:color="000000" w:sz="4" w:space="0"/>
            </w:tcBorders>
            <w:vAlign w:val="center"/>
          </w:tcPr>
          <w:p w14:paraId="7456BA13">
            <w:pPr>
              <w:widowControl/>
              <w:spacing w:line="480" w:lineRule="exact"/>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投标人须配备一名具有一定从业经验或具有大型翻译项目操作经验的项目经理，及时响应翻译需求。</w:t>
            </w:r>
          </w:p>
        </w:tc>
        <w:tc>
          <w:tcPr>
            <w:tcW w:w="1211" w:type="dxa"/>
            <w:tcBorders>
              <w:top w:val="single" w:color="000000" w:sz="4" w:space="0"/>
              <w:left w:val="single" w:color="000000" w:sz="4" w:space="0"/>
              <w:bottom w:val="single" w:color="000000" w:sz="4" w:space="0"/>
              <w:right w:val="single" w:color="000000" w:sz="4" w:space="0"/>
            </w:tcBorders>
            <w:vAlign w:val="center"/>
          </w:tcPr>
          <w:p w14:paraId="3E2D67A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67DD942">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4F116CF9">
            <w:pPr>
              <w:widowControl/>
              <w:spacing w:line="560" w:lineRule="exact"/>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85" w:type="dxa"/>
            <w:tcBorders>
              <w:top w:val="single" w:color="000000" w:sz="4" w:space="0"/>
              <w:left w:val="single" w:color="000000" w:sz="4" w:space="0"/>
              <w:bottom w:val="single" w:color="000000" w:sz="4" w:space="0"/>
              <w:right w:val="single" w:color="000000" w:sz="4" w:space="0"/>
            </w:tcBorders>
            <w:vAlign w:val="center"/>
          </w:tcPr>
          <w:p w14:paraId="6A8E6BB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74C639F8">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其他团队人员</w:t>
            </w:r>
          </w:p>
        </w:tc>
        <w:tc>
          <w:tcPr>
            <w:tcW w:w="5525" w:type="dxa"/>
            <w:tcBorders>
              <w:top w:val="single" w:color="000000" w:sz="4" w:space="0"/>
              <w:left w:val="single" w:color="000000" w:sz="4" w:space="0"/>
              <w:bottom w:val="single" w:color="000000" w:sz="4" w:space="0"/>
              <w:right w:val="single" w:color="000000" w:sz="4" w:space="0"/>
            </w:tcBorders>
            <w:vAlign w:val="center"/>
          </w:tcPr>
          <w:p w14:paraId="73AAC2AC">
            <w:pPr>
              <w:widowControl/>
              <w:tabs>
                <w:tab w:val="left" w:pos="3780"/>
              </w:tabs>
              <w:spacing w:line="480" w:lineRule="exact"/>
              <w:ind w:right="105" w:rightChars="50"/>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投标人应为本项目配备足够数量且人员稳定的专职翻译团队。团队译员需具有相关翻译经验，具备较好的金融知识以及较好的外语功底。</w:t>
            </w:r>
          </w:p>
        </w:tc>
        <w:tc>
          <w:tcPr>
            <w:tcW w:w="1211" w:type="dxa"/>
            <w:tcBorders>
              <w:top w:val="single" w:color="000000" w:sz="4" w:space="0"/>
              <w:left w:val="single" w:color="000000" w:sz="4" w:space="0"/>
              <w:bottom w:val="single" w:color="000000" w:sz="4" w:space="0"/>
              <w:right w:val="single" w:color="000000" w:sz="4" w:space="0"/>
            </w:tcBorders>
            <w:vAlign w:val="center"/>
          </w:tcPr>
          <w:p w14:paraId="78FB29C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BC06AC2">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tcPr>
          <w:p w14:paraId="35049477">
            <w:pPr>
              <w:pStyle w:val="14"/>
              <w:widowControl/>
              <w:numPr>
                <w:ilvl w:val="0"/>
                <w:numId w:val="11"/>
              </w:numPr>
              <w:spacing w:line="48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服务要求</w:t>
            </w:r>
          </w:p>
        </w:tc>
      </w:tr>
      <w:tr w14:paraId="20B1E028">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FCC3990">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tcPr>
          <w:p w14:paraId="08C94626">
            <w:pPr>
              <w:widowControl/>
              <w:spacing w:line="560" w:lineRule="exact"/>
              <w:textAlignment w:val="center"/>
              <w:rPr>
                <w:rFonts w:hint="eastAsia" w:ascii="宋体" w:hAnsi="宋体" w:eastAsia="宋体" w:cs="宋体"/>
                <w:i/>
                <w:iCs/>
                <w:sz w:val="24"/>
                <w:szCs w:val="24"/>
                <w:highlight w:val="none"/>
              </w:rPr>
            </w:pPr>
          </w:p>
          <w:p w14:paraId="2C94C49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6246DC2D">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响应要求</w:t>
            </w:r>
          </w:p>
        </w:tc>
        <w:tc>
          <w:tcPr>
            <w:tcW w:w="5525" w:type="dxa"/>
            <w:tcBorders>
              <w:top w:val="single" w:color="000000" w:sz="4" w:space="0"/>
              <w:left w:val="single" w:color="000000" w:sz="4" w:space="0"/>
              <w:bottom w:val="single" w:color="000000" w:sz="4" w:space="0"/>
              <w:right w:val="single" w:color="000000" w:sz="4" w:space="0"/>
            </w:tcBorders>
            <w:vAlign w:val="center"/>
          </w:tcPr>
          <w:p w14:paraId="537985D6">
            <w:pPr>
              <w:widowControl/>
              <w:spacing w:line="48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投标人提供的项目经理在工作时间（工作日9：00-18：00）提供实时的需求响应。 </w:t>
            </w:r>
          </w:p>
        </w:tc>
        <w:tc>
          <w:tcPr>
            <w:tcW w:w="1211" w:type="dxa"/>
            <w:tcBorders>
              <w:top w:val="single" w:color="000000" w:sz="4" w:space="0"/>
              <w:left w:val="single" w:color="000000" w:sz="4" w:space="0"/>
              <w:bottom w:val="single" w:color="000000" w:sz="4" w:space="0"/>
              <w:right w:val="single" w:color="000000" w:sz="4" w:space="0"/>
            </w:tcBorders>
            <w:vAlign w:val="center"/>
          </w:tcPr>
          <w:p w14:paraId="7810344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8F8B2E1">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2F13512">
            <w:pPr>
              <w:spacing w:line="560" w:lineRule="exact"/>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85" w:type="dxa"/>
            <w:tcBorders>
              <w:left w:val="single" w:color="000000" w:sz="4" w:space="0"/>
              <w:bottom w:val="single" w:color="000000" w:sz="4" w:space="0"/>
              <w:right w:val="single" w:color="000000" w:sz="4" w:space="0"/>
            </w:tcBorders>
          </w:tcPr>
          <w:p w14:paraId="5A8DEBDF">
            <w:pPr>
              <w:widowControl/>
              <w:spacing w:line="560" w:lineRule="exact"/>
              <w:textAlignment w:val="center"/>
              <w:rPr>
                <w:rFonts w:hint="eastAsia" w:ascii="宋体" w:hAnsi="宋体" w:eastAsia="宋体" w:cs="宋体"/>
                <w:i/>
                <w:iCs/>
                <w:sz w:val="24"/>
                <w:szCs w:val="24"/>
                <w:highlight w:val="none"/>
              </w:rPr>
            </w:pPr>
          </w:p>
          <w:p w14:paraId="119EBF4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left w:val="single" w:color="000000" w:sz="4" w:space="0"/>
              <w:bottom w:val="single" w:color="000000" w:sz="4" w:space="0"/>
              <w:right w:val="single" w:color="000000" w:sz="4" w:space="0"/>
            </w:tcBorders>
            <w:vAlign w:val="center"/>
          </w:tcPr>
          <w:p w14:paraId="121CC489">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译后服务</w:t>
            </w:r>
          </w:p>
        </w:tc>
        <w:tc>
          <w:tcPr>
            <w:tcW w:w="5525" w:type="dxa"/>
            <w:tcBorders>
              <w:top w:val="single" w:color="000000" w:sz="4" w:space="0"/>
              <w:left w:val="single" w:color="000000" w:sz="4" w:space="0"/>
              <w:bottom w:val="single" w:color="000000" w:sz="4" w:space="0"/>
              <w:right w:val="single" w:color="000000" w:sz="4" w:space="0"/>
            </w:tcBorders>
            <w:vAlign w:val="center"/>
          </w:tcPr>
          <w:p w14:paraId="74AC8905">
            <w:pPr>
              <w:widowControl/>
              <w:spacing w:line="48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如遇投诉或纠纷，需在招标人提出后48小时内给出妥善解决方案；对产生的翻译差错或其他原因引起的合理修改应及时更正，最迟不超过2个工作日。</w:t>
            </w:r>
          </w:p>
        </w:tc>
        <w:tc>
          <w:tcPr>
            <w:tcW w:w="1211" w:type="dxa"/>
            <w:tcBorders>
              <w:top w:val="single" w:color="000000" w:sz="4" w:space="0"/>
              <w:left w:val="single" w:color="000000" w:sz="4" w:space="0"/>
              <w:bottom w:val="single" w:color="000000" w:sz="4" w:space="0"/>
              <w:right w:val="single" w:color="000000" w:sz="4" w:space="0"/>
            </w:tcBorders>
            <w:vAlign w:val="center"/>
          </w:tcPr>
          <w:p w14:paraId="1A11691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5EBB4D8">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tcPr>
          <w:p w14:paraId="67F32552">
            <w:pPr>
              <w:widowControl/>
              <w:spacing w:line="560" w:lineRule="exac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六、履约验收方案</w:t>
            </w:r>
          </w:p>
        </w:tc>
      </w:tr>
      <w:tr w14:paraId="3C0455A7">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E85BE8C">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1BEBF946">
            <w:pPr>
              <w:widowControl/>
              <w:spacing w:line="480" w:lineRule="exact"/>
              <w:jc w:val="center"/>
              <w:textAlignment w:val="center"/>
              <w:rPr>
                <w:rFonts w:hint="eastAsia" w:ascii="宋体" w:hAnsi="宋体" w:eastAsia="宋体" w:cs="宋体"/>
                <w:i/>
                <w:iCs/>
                <w:sz w:val="24"/>
                <w:szCs w:val="24"/>
                <w:highlight w:val="none"/>
              </w:rPr>
            </w:pPr>
          </w:p>
          <w:p w14:paraId="46C6A202">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4D420DAD">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验收主体</w:t>
            </w:r>
          </w:p>
        </w:tc>
        <w:tc>
          <w:tcPr>
            <w:tcW w:w="5525" w:type="dxa"/>
            <w:tcBorders>
              <w:top w:val="single" w:color="000000" w:sz="4" w:space="0"/>
              <w:left w:val="single" w:color="000000" w:sz="4" w:space="0"/>
              <w:bottom w:val="single" w:color="000000" w:sz="4" w:space="0"/>
              <w:right w:val="single" w:color="000000" w:sz="4" w:space="0"/>
            </w:tcBorders>
            <w:vAlign w:val="center"/>
          </w:tcPr>
          <w:p w14:paraId="7A1395B6">
            <w:pPr>
              <w:pStyle w:val="14"/>
              <w:widowControl/>
              <w:numPr>
                <w:ilvl w:val="0"/>
                <w:numId w:val="12"/>
              </w:numPr>
              <w:spacing w:line="480" w:lineRule="exact"/>
              <w:ind w:firstLineChars="0"/>
              <w:textAlignment w:val="center"/>
              <w:rPr>
                <w:rFonts w:hint="eastAsia" w:ascii="宋体" w:hAnsi="宋体" w:eastAsia="宋体" w:cs="宋体"/>
                <w:sz w:val="24"/>
                <w:szCs w:val="24"/>
                <w:highlight w:val="none"/>
                <w:u w:val="single"/>
                <w:lang w:bidi="ar"/>
              </w:rPr>
            </w:pPr>
            <w:r>
              <w:rPr>
                <w:rFonts w:hint="eastAsia" w:ascii="宋体" w:hAnsi="宋体" w:eastAsia="宋体" w:cs="宋体"/>
                <w:sz w:val="24"/>
                <w:szCs w:val="24"/>
                <w:highlight w:val="none"/>
                <w:lang w:bidi="ar"/>
              </w:rPr>
              <w:t>采购人（需求部门）</w:t>
            </w:r>
            <w:r>
              <w:rPr>
                <w:rFonts w:hint="eastAsia" w:ascii="宋体" w:hAnsi="宋体" w:eastAsia="宋体" w:cs="宋体"/>
                <w:sz w:val="24"/>
                <w:szCs w:val="24"/>
                <w:highlight w:val="none"/>
                <w:u w:val="single"/>
                <w:lang w:bidi="ar"/>
              </w:rPr>
              <w:t xml:space="preserve">  国际发展部、上海国际黄金交易中心      </w:t>
            </w:r>
          </w:p>
          <w:p w14:paraId="5C636E96">
            <w:pPr>
              <w:tabs>
                <w:tab w:val="left" w:pos="312"/>
              </w:tabs>
              <w:spacing w:line="480" w:lineRule="exact"/>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2、拟邀请（</w:t>
            </w:r>
            <w:r>
              <w:rPr>
                <w:rFonts w:hint="eastAsia" w:ascii="宋体" w:hAnsi="宋体" w:eastAsia="宋体" w:cs="宋体"/>
                <w:sz w:val="24"/>
                <w:szCs w:val="24"/>
                <w:highlight w:val="none"/>
                <w:lang w:bidi="ar"/>
              </w:rPr>
              <w:sym w:font="Wingdings 2" w:char="F052"/>
            </w:r>
            <w:r>
              <w:rPr>
                <w:rFonts w:hint="eastAsia" w:ascii="宋体" w:hAnsi="宋体" w:eastAsia="宋体" w:cs="宋体"/>
                <w:sz w:val="24"/>
                <w:szCs w:val="24"/>
                <w:highlight w:val="none"/>
                <w:lang w:bidi="ar"/>
              </w:rPr>
              <w:t>实际使用人 □其他相关部门 □本项目其他供应商  □第三方专业机构  □专家 □服务对象）</w:t>
            </w:r>
          </w:p>
        </w:tc>
        <w:tc>
          <w:tcPr>
            <w:tcW w:w="1211" w:type="dxa"/>
            <w:tcBorders>
              <w:top w:val="single" w:color="000000" w:sz="4" w:space="0"/>
              <w:left w:val="single" w:color="000000" w:sz="4" w:space="0"/>
              <w:bottom w:val="single" w:color="000000" w:sz="4" w:space="0"/>
              <w:right w:val="single" w:color="000000" w:sz="4" w:space="0"/>
            </w:tcBorders>
            <w:vAlign w:val="center"/>
          </w:tcPr>
          <w:p w14:paraId="6D9659EA">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C787224">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0D56B406">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85" w:type="dxa"/>
            <w:tcBorders>
              <w:top w:val="single" w:color="000000" w:sz="4" w:space="0"/>
              <w:left w:val="single" w:color="000000" w:sz="4" w:space="0"/>
              <w:bottom w:val="single" w:color="000000" w:sz="4" w:space="0"/>
              <w:right w:val="single" w:color="000000" w:sz="4" w:space="0"/>
            </w:tcBorders>
            <w:vAlign w:val="center"/>
          </w:tcPr>
          <w:p w14:paraId="5245012D">
            <w:pPr>
              <w:widowControl/>
              <w:spacing w:line="480" w:lineRule="exact"/>
              <w:ind w:firstLine="480" w:firstLineChars="200"/>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3C4B01A0">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验收时间</w:t>
            </w:r>
          </w:p>
        </w:tc>
        <w:tc>
          <w:tcPr>
            <w:tcW w:w="5525" w:type="dxa"/>
            <w:tcBorders>
              <w:top w:val="single" w:color="000000" w:sz="4" w:space="0"/>
              <w:left w:val="single" w:color="000000" w:sz="4" w:space="0"/>
              <w:bottom w:val="single" w:color="000000" w:sz="4" w:space="0"/>
              <w:right w:val="single" w:color="000000" w:sz="4" w:space="0"/>
            </w:tcBorders>
            <w:vAlign w:val="center"/>
          </w:tcPr>
          <w:p w14:paraId="248A2EA5">
            <w:pPr>
              <w:snapToGrid w:val="0"/>
              <w:spacing w:line="480" w:lineRule="exact"/>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验收时间：</w:t>
            </w:r>
          </w:p>
          <w:p w14:paraId="642C2969">
            <w:pPr>
              <w:snapToGrid w:val="0"/>
              <w:spacing w:line="480" w:lineRule="exact"/>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每季度验收一次 </w:t>
            </w:r>
          </w:p>
        </w:tc>
        <w:tc>
          <w:tcPr>
            <w:tcW w:w="1211" w:type="dxa"/>
            <w:tcBorders>
              <w:top w:val="single" w:color="000000" w:sz="4" w:space="0"/>
              <w:left w:val="single" w:color="000000" w:sz="4" w:space="0"/>
              <w:bottom w:val="single" w:color="000000" w:sz="4" w:space="0"/>
              <w:right w:val="single" w:color="000000" w:sz="4" w:space="0"/>
            </w:tcBorders>
            <w:vAlign w:val="center"/>
          </w:tcPr>
          <w:p w14:paraId="0D3D8733">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DEA228C">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03BF94EA">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vAlign w:val="center"/>
          </w:tcPr>
          <w:p w14:paraId="67C09392">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61EA3B94">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验收地点</w:t>
            </w:r>
          </w:p>
        </w:tc>
        <w:tc>
          <w:tcPr>
            <w:tcW w:w="5525" w:type="dxa"/>
            <w:tcBorders>
              <w:top w:val="single" w:color="000000" w:sz="4" w:space="0"/>
              <w:left w:val="single" w:color="000000" w:sz="4" w:space="0"/>
              <w:bottom w:val="single" w:color="000000" w:sz="4" w:space="0"/>
              <w:right w:val="single" w:color="000000" w:sz="4" w:space="0"/>
            </w:tcBorders>
            <w:vAlign w:val="center"/>
          </w:tcPr>
          <w:p w14:paraId="71FC7A0C">
            <w:pPr>
              <w:snapToGrid w:val="0"/>
              <w:spacing w:line="480" w:lineRule="exact"/>
              <w:jc w:val="left"/>
              <w:outlineLvl w:val="0"/>
              <w:rPr>
                <w:rFonts w:hint="eastAsia" w:ascii="宋体" w:hAnsi="宋体" w:eastAsia="宋体" w:cs="宋体"/>
                <w:bCs/>
                <w:kern w:val="0"/>
                <w:sz w:val="24"/>
                <w:szCs w:val="24"/>
                <w:highlight w:val="none"/>
                <w:lang w:bidi="ar"/>
              </w:rPr>
            </w:pPr>
            <w:r>
              <w:rPr>
                <w:rFonts w:hint="eastAsia" w:ascii="宋体" w:hAnsi="宋体" w:eastAsia="宋体" w:cs="宋体"/>
                <w:bCs/>
                <w:kern w:val="0"/>
                <w:sz w:val="24"/>
                <w:szCs w:val="24"/>
                <w:highlight w:val="none"/>
              </w:rPr>
              <w:t>上海</w:t>
            </w:r>
          </w:p>
        </w:tc>
        <w:tc>
          <w:tcPr>
            <w:tcW w:w="1211" w:type="dxa"/>
            <w:tcBorders>
              <w:top w:val="single" w:color="000000" w:sz="4" w:space="0"/>
              <w:left w:val="single" w:color="000000" w:sz="4" w:space="0"/>
              <w:bottom w:val="single" w:color="000000" w:sz="4" w:space="0"/>
              <w:right w:val="single" w:color="000000" w:sz="4" w:space="0"/>
            </w:tcBorders>
            <w:vAlign w:val="center"/>
          </w:tcPr>
          <w:p w14:paraId="7DE32407">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BDEB183">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A3C0E07">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885" w:type="dxa"/>
            <w:tcBorders>
              <w:top w:val="single" w:color="000000" w:sz="4" w:space="0"/>
              <w:left w:val="single" w:color="000000" w:sz="4" w:space="0"/>
              <w:bottom w:val="single" w:color="000000" w:sz="4" w:space="0"/>
              <w:right w:val="single" w:color="000000" w:sz="4" w:space="0"/>
            </w:tcBorders>
            <w:vAlign w:val="center"/>
          </w:tcPr>
          <w:p w14:paraId="1CF31316">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34300617">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验收方式</w:t>
            </w:r>
          </w:p>
        </w:tc>
        <w:tc>
          <w:tcPr>
            <w:tcW w:w="5525" w:type="dxa"/>
            <w:tcBorders>
              <w:top w:val="single" w:color="000000" w:sz="4" w:space="0"/>
              <w:left w:val="single" w:color="000000" w:sz="4" w:space="0"/>
              <w:bottom w:val="single" w:color="000000" w:sz="4" w:space="0"/>
              <w:right w:val="single" w:color="000000" w:sz="4" w:space="0"/>
            </w:tcBorders>
            <w:vAlign w:val="center"/>
          </w:tcPr>
          <w:p w14:paraId="316664B1">
            <w:pPr>
              <w:spacing w:line="480" w:lineRule="exact"/>
              <w:rPr>
                <w:rFonts w:hint="eastAsia" w:ascii="宋体" w:hAnsi="宋体" w:eastAsia="宋体" w:cs="宋体"/>
                <w:sz w:val="24"/>
                <w:szCs w:val="24"/>
                <w:highlight w:val="none"/>
              </w:rPr>
            </w:pPr>
            <w:r>
              <w:rPr>
                <w:rFonts w:hint="eastAsia" w:ascii="宋体" w:hAnsi="宋体" w:eastAsia="宋体" w:cs="宋体"/>
                <w:bCs/>
                <w:kern w:val="0"/>
                <w:sz w:val="24"/>
                <w:szCs w:val="24"/>
                <w:highlight w:val="none"/>
              </w:rPr>
              <w:t>分期验收</w:t>
            </w:r>
          </w:p>
        </w:tc>
        <w:tc>
          <w:tcPr>
            <w:tcW w:w="1211" w:type="dxa"/>
            <w:tcBorders>
              <w:top w:val="single" w:color="000000" w:sz="4" w:space="0"/>
              <w:left w:val="single" w:color="000000" w:sz="4" w:space="0"/>
              <w:bottom w:val="single" w:color="000000" w:sz="4" w:space="0"/>
              <w:right w:val="single" w:color="000000" w:sz="4" w:space="0"/>
            </w:tcBorders>
            <w:vAlign w:val="center"/>
          </w:tcPr>
          <w:p w14:paraId="4031A6F4">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FD9EDA3">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394CC462">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885" w:type="dxa"/>
            <w:tcBorders>
              <w:top w:val="single" w:color="000000" w:sz="4" w:space="0"/>
              <w:left w:val="single" w:color="000000" w:sz="4" w:space="0"/>
              <w:bottom w:val="single" w:color="000000" w:sz="4" w:space="0"/>
              <w:right w:val="single" w:color="000000" w:sz="4" w:space="0"/>
            </w:tcBorders>
            <w:vAlign w:val="center"/>
          </w:tcPr>
          <w:p w14:paraId="5116BC9E">
            <w:pPr>
              <w:widowControl/>
              <w:spacing w:line="48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704ECB25">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验收方法</w:t>
            </w:r>
          </w:p>
        </w:tc>
        <w:tc>
          <w:tcPr>
            <w:tcW w:w="5525" w:type="dxa"/>
            <w:tcBorders>
              <w:top w:val="single" w:color="000000" w:sz="4" w:space="0"/>
              <w:left w:val="single" w:color="000000" w:sz="4" w:space="0"/>
              <w:bottom w:val="single" w:color="000000" w:sz="4" w:space="0"/>
              <w:right w:val="single" w:color="000000" w:sz="4" w:space="0"/>
            </w:tcBorders>
            <w:vAlign w:val="center"/>
          </w:tcPr>
          <w:p w14:paraId="19D42ACD">
            <w:pPr>
              <w:spacing w:line="48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联合当季度需求部门、实际使用人对交付稿件质量、时效进行核验并签名。</w:t>
            </w:r>
          </w:p>
        </w:tc>
        <w:tc>
          <w:tcPr>
            <w:tcW w:w="1211" w:type="dxa"/>
            <w:tcBorders>
              <w:top w:val="single" w:color="000000" w:sz="4" w:space="0"/>
              <w:left w:val="single" w:color="000000" w:sz="4" w:space="0"/>
              <w:bottom w:val="single" w:color="000000" w:sz="4" w:space="0"/>
              <w:right w:val="single" w:color="000000" w:sz="4" w:space="0"/>
            </w:tcBorders>
            <w:vAlign w:val="center"/>
          </w:tcPr>
          <w:p w14:paraId="7B7AC4B9">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E984DC6">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567E4694">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885" w:type="dxa"/>
            <w:tcBorders>
              <w:top w:val="single" w:color="000000" w:sz="4" w:space="0"/>
              <w:left w:val="single" w:color="000000" w:sz="4" w:space="0"/>
              <w:bottom w:val="single" w:color="000000" w:sz="4" w:space="0"/>
              <w:right w:val="single" w:color="000000" w:sz="4" w:space="0"/>
            </w:tcBorders>
            <w:vAlign w:val="center"/>
          </w:tcPr>
          <w:p w14:paraId="456676BB">
            <w:pPr>
              <w:widowControl/>
              <w:spacing w:line="48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06E5AB0B">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验收内容</w:t>
            </w:r>
          </w:p>
        </w:tc>
        <w:tc>
          <w:tcPr>
            <w:tcW w:w="5525" w:type="dxa"/>
            <w:tcBorders>
              <w:top w:val="single" w:color="000000" w:sz="4" w:space="0"/>
              <w:left w:val="single" w:color="000000" w:sz="4" w:space="0"/>
              <w:bottom w:val="single" w:color="000000" w:sz="4" w:space="0"/>
              <w:right w:val="single" w:color="000000" w:sz="4" w:space="0"/>
            </w:tcBorders>
            <w:vAlign w:val="center"/>
          </w:tcPr>
          <w:p w14:paraId="33DF86EF">
            <w:pPr>
              <w:spacing w:line="48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稿件交付时效、交付质量（术语前后是否一致、信息是否准确以及语言质量是否符合语域）、译后服务是否有保障等内容进行验收。</w:t>
            </w:r>
          </w:p>
        </w:tc>
        <w:tc>
          <w:tcPr>
            <w:tcW w:w="1211" w:type="dxa"/>
            <w:tcBorders>
              <w:top w:val="single" w:color="000000" w:sz="4" w:space="0"/>
              <w:left w:val="single" w:color="000000" w:sz="4" w:space="0"/>
              <w:bottom w:val="single" w:color="000000" w:sz="4" w:space="0"/>
              <w:right w:val="single" w:color="000000" w:sz="4" w:space="0"/>
            </w:tcBorders>
            <w:vAlign w:val="center"/>
          </w:tcPr>
          <w:p w14:paraId="214852AC">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8F6B6E0">
        <w:tblPrEx>
          <w:tblCellMar>
            <w:top w:w="0" w:type="dxa"/>
            <w:left w:w="0" w:type="dxa"/>
            <w:bottom w:w="0" w:type="dxa"/>
            <w:right w:w="0" w:type="dxa"/>
          </w:tblCellMar>
        </w:tblPrEx>
        <w:trPr>
          <w:trHeight w:val="802"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3EC9518">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885" w:type="dxa"/>
            <w:tcBorders>
              <w:top w:val="single" w:color="000000" w:sz="4" w:space="0"/>
              <w:left w:val="single" w:color="000000" w:sz="4" w:space="0"/>
              <w:bottom w:val="single" w:color="000000" w:sz="4" w:space="0"/>
              <w:right w:val="single" w:color="000000" w:sz="4" w:space="0"/>
            </w:tcBorders>
            <w:vAlign w:val="center"/>
          </w:tcPr>
          <w:p w14:paraId="0620B6C7">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3010A9D7">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验收标准</w:t>
            </w:r>
          </w:p>
        </w:tc>
        <w:tc>
          <w:tcPr>
            <w:tcW w:w="5525" w:type="dxa"/>
            <w:tcBorders>
              <w:top w:val="single" w:color="000000" w:sz="4" w:space="0"/>
              <w:left w:val="single" w:color="000000" w:sz="4" w:space="0"/>
              <w:bottom w:val="single" w:color="000000" w:sz="4" w:space="0"/>
              <w:right w:val="single" w:color="000000" w:sz="4" w:space="0"/>
            </w:tcBorders>
            <w:vAlign w:val="center"/>
          </w:tcPr>
          <w:p w14:paraId="0A5063C4">
            <w:pPr>
              <w:widowControl/>
              <w:spacing w:line="480" w:lineRule="exact"/>
              <w:textAlignment w:val="center"/>
              <w:rPr>
                <w:rFonts w:hint="eastAsia" w:ascii="宋体" w:hAnsi="宋体" w:eastAsia="宋体" w:cs="宋体"/>
                <w:kern w:val="0"/>
                <w:sz w:val="24"/>
                <w:szCs w:val="24"/>
                <w:highlight w:val="none"/>
                <w:lang w:bidi="ar"/>
              </w:rPr>
            </w:pPr>
            <w:r>
              <w:rPr>
                <w:rFonts w:hint="eastAsia" w:ascii="宋体" w:hAnsi="宋体" w:eastAsia="宋体" w:cs="宋体"/>
                <w:sz w:val="24"/>
                <w:szCs w:val="24"/>
                <w:highlight w:val="none"/>
              </w:rPr>
              <w:t>满足所有技术、商务需求。重点关注响应时间、交付时间以及翻译质量等方面是否符合标准。</w:t>
            </w:r>
          </w:p>
        </w:tc>
        <w:tc>
          <w:tcPr>
            <w:tcW w:w="1211" w:type="dxa"/>
            <w:tcBorders>
              <w:top w:val="single" w:color="000000" w:sz="4" w:space="0"/>
              <w:left w:val="single" w:color="000000" w:sz="4" w:space="0"/>
              <w:bottom w:val="single" w:color="000000" w:sz="4" w:space="0"/>
              <w:right w:val="single" w:color="000000" w:sz="4" w:space="0"/>
            </w:tcBorders>
            <w:vAlign w:val="center"/>
          </w:tcPr>
          <w:p w14:paraId="491014B1">
            <w:pPr>
              <w:widowControl/>
              <w:spacing w:line="48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24969CE">
        <w:tblPrEx>
          <w:tblCellMar>
            <w:top w:w="0" w:type="dxa"/>
            <w:left w:w="0" w:type="dxa"/>
            <w:bottom w:w="0" w:type="dxa"/>
            <w:right w:w="0" w:type="dxa"/>
          </w:tblCellMar>
        </w:tblPrEx>
        <w:trPr>
          <w:trHeight w:val="20" w:hRule="atLeast"/>
        </w:trPr>
        <w:tc>
          <w:tcPr>
            <w:tcW w:w="0" w:type="auto"/>
            <w:gridSpan w:val="5"/>
            <w:tcBorders>
              <w:top w:val="single" w:color="000000" w:sz="4" w:space="0"/>
              <w:left w:val="single" w:color="000000" w:sz="4" w:space="0"/>
              <w:bottom w:val="single" w:color="000000" w:sz="4" w:space="0"/>
              <w:right w:val="single" w:color="000000" w:sz="4" w:space="0"/>
            </w:tcBorders>
            <w:vAlign w:val="center"/>
          </w:tcPr>
          <w:p w14:paraId="7BD26A6A">
            <w:pPr>
              <w:widowControl/>
              <w:spacing w:line="48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七、项目分项报价</w:t>
            </w:r>
          </w:p>
        </w:tc>
      </w:tr>
      <w:tr w14:paraId="2B490B6E">
        <w:tblPrEx>
          <w:tblCellMar>
            <w:top w:w="0" w:type="dxa"/>
            <w:left w:w="0" w:type="dxa"/>
            <w:bottom w:w="0" w:type="dxa"/>
            <w:right w:w="0" w:type="dxa"/>
          </w:tblCellMar>
        </w:tblPrEx>
        <w:trPr>
          <w:trHeight w:val="20" w:hRule="atLeast"/>
        </w:trPr>
        <w:tc>
          <w:tcPr>
            <w:tcW w:w="614" w:type="dxa"/>
            <w:tcBorders>
              <w:top w:val="single" w:color="000000" w:sz="4" w:space="0"/>
              <w:left w:val="single" w:color="000000" w:sz="4" w:space="0"/>
              <w:bottom w:val="single" w:color="000000" w:sz="4" w:space="0"/>
              <w:right w:val="single" w:color="000000" w:sz="4" w:space="0"/>
            </w:tcBorders>
            <w:vAlign w:val="center"/>
          </w:tcPr>
          <w:p w14:paraId="656CE311">
            <w:pPr>
              <w:spacing w:line="48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1D4FFE36">
            <w:pPr>
              <w:widowControl/>
              <w:spacing w:line="48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1335" w:type="dxa"/>
            <w:tcBorders>
              <w:top w:val="single" w:color="000000" w:sz="4" w:space="0"/>
              <w:left w:val="single" w:color="000000" w:sz="4" w:space="0"/>
              <w:bottom w:val="single" w:color="000000" w:sz="4" w:space="0"/>
              <w:right w:val="single" w:color="000000" w:sz="4" w:space="0"/>
            </w:tcBorders>
            <w:vAlign w:val="center"/>
          </w:tcPr>
          <w:p w14:paraId="20D81AD6">
            <w:pPr>
              <w:widowControl/>
              <w:spacing w:line="48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项目分项报价</w:t>
            </w:r>
          </w:p>
        </w:tc>
        <w:tc>
          <w:tcPr>
            <w:tcW w:w="5525" w:type="dxa"/>
            <w:tcBorders>
              <w:top w:val="single" w:color="000000" w:sz="4" w:space="0"/>
              <w:left w:val="single" w:color="000000" w:sz="4" w:space="0"/>
              <w:bottom w:val="single" w:color="000000" w:sz="4" w:space="0"/>
              <w:right w:val="single" w:color="000000" w:sz="4" w:space="0"/>
            </w:tcBorders>
            <w:vAlign w:val="center"/>
          </w:tcPr>
          <w:p w14:paraId="1D8A4695">
            <w:pPr>
              <w:widowControl/>
              <w:rPr>
                <w:rFonts w:hint="eastAsia" w:ascii="宋体" w:hAnsi="宋体" w:eastAsia="宋体" w:cs="宋体"/>
                <w:sz w:val="24"/>
                <w:szCs w:val="24"/>
                <w:highlight w:val="none"/>
              </w:rPr>
            </w:pPr>
            <w:r>
              <w:rPr>
                <w:rFonts w:hint="eastAsia" w:ascii="宋体" w:hAnsi="宋体" w:eastAsia="宋体" w:cs="宋体"/>
                <w:sz w:val="24"/>
                <w:szCs w:val="24"/>
                <w:highlight w:val="none"/>
              </w:rPr>
              <w:t>除提交投标总价外，投标人需提供中译英、英译中、</w:t>
            </w:r>
            <w:r>
              <w:rPr>
                <w:rFonts w:hint="eastAsia" w:ascii="宋体" w:hAnsi="宋体" w:eastAsia="宋体" w:cs="宋体"/>
                <w:bCs/>
                <w:iCs/>
                <w:sz w:val="24"/>
                <w:szCs w:val="24"/>
                <w:highlight w:val="none"/>
              </w:rPr>
              <w:t>中译俄、中译阿拉伯语、中译葡萄牙语、中译土耳其语、中译印尼语</w:t>
            </w:r>
            <w:r>
              <w:rPr>
                <w:rFonts w:hint="eastAsia" w:ascii="宋体" w:hAnsi="宋体" w:eastAsia="宋体" w:cs="宋体"/>
                <w:sz w:val="24"/>
                <w:szCs w:val="24"/>
                <w:highlight w:val="none"/>
              </w:rPr>
              <w:t>服务的明细报价。</w:t>
            </w:r>
          </w:p>
        </w:tc>
        <w:tc>
          <w:tcPr>
            <w:tcW w:w="1211" w:type="dxa"/>
            <w:tcBorders>
              <w:top w:val="single" w:color="000000" w:sz="4" w:space="0"/>
              <w:left w:val="single" w:color="000000" w:sz="4" w:space="0"/>
              <w:bottom w:val="single" w:color="000000" w:sz="4" w:space="0"/>
              <w:right w:val="single" w:color="000000" w:sz="4" w:space="0"/>
            </w:tcBorders>
            <w:vAlign w:val="center"/>
          </w:tcPr>
          <w:p w14:paraId="5CC27681">
            <w:pPr>
              <w:widowControl/>
              <w:spacing w:line="48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sz w:val="24"/>
                <w:szCs w:val="24"/>
                <w:highlight w:val="none"/>
              </w:rPr>
              <w:t>是，提供分项报价单并加盖投标人公章。</w:t>
            </w:r>
          </w:p>
        </w:tc>
      </w:tr>
    </w:tbl>
    <w:p w14:paraId="2C484943">
      <w:pPr>
        <w:spacing w:line="480" w:lineRule="exact"/>
        <w:rPr>
          <w:rFonts w:hint="eastAsia" w:ascii="宋体" w:hAnsi="宋体" w:eastAsia="宋体" w:cs="宋体"/>
          <w:iCs/>
          <w:sz w:val="24"/>
          <w:szCs w:val="24"/>
          <w:highlight w:val="none"/>
        </w:rPr>
      </w:pPr>
    </w:p>
    <w:p w14:paraId="6C2F620F">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8"/>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50"/>
        <w:gridCol w:w="4325"/>
        <w:gridCol w:w="1130"/>
        <w:gridCol w:w="1007"/>
        <w:gridCol w:w="840"/>
      </w:tblGrid>
      <w:tr w14:paraId="447E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876" w:type="dxa"/>
            <w:vAlign w:val="center"/>
          </w:tcPr>
          <w:p w14:paraId="70D1C7AB">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350" w:type="dxa"/>
            <w:vAlign w:val="center"/>
          </w:tcPr>
          <w:p w14:paraId="3AE5CC74">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付款节点（进度）</w:t>
            </w:r>
          </w:p>
        </w:tc>
        <w:tc>
          <w:tcPr>
            <w:tcW w:w="4325" w:type="dxa"/>
            <w:vAlign w:val="center"/>
          </w:tcPr>
          <w:p w14:paraId="1CE1562F">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130" w:type="dxa"/>
            <w:vAlign w:val="center"/>
          </w:tcPr>
          <w:p w14:paraId="0BB40CF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007" w:type="dxa"/>
          </w:tcPr>
          <w:p w14:paraId="15620293">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840" w:type="dxa"/>
            <w:vAlign w:val="center"/>
          </w:tcPr>
          <w:p w14:paraId="6C0986A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44EC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 w:hRule="atLeast"/>
          <w:jc w:val="center"/>
        </w:trPr>
        <w:tc>
          <w:tcPr>
            <w:tcW w:w="876" w:type="dxa"/>
          </w:tcPr>
          <w:p w14:paraId="549A76B2">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350" w:type="dxa"/>
          </w:tcPr>
          <w:p w14:paraId="44C86BEC">
            <w:pP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每季度付款</w:t>
            </w:r>
          </w:p>
        </w:tc>
        <w:tc>
          <w:tcPr>
            <w:tcW w:w="4325" w:type="dxa"/>
          </w:tcPr>
          <w:p w14:paraId="57E10DBB">
            <w:pP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中标人须提供翻译服务结算单（列明该季度内上海黄金交易所或上海国际黄金交易中心委托翻译的所有稿件的文件名、对应字数、单价及总价等信息）。经上海黄金交易所或上海国际黄金交易中心验收通过后，中标人应开具相应数额的合法增值税专用发票。</w:t>
            </w:r>
          </w:p>
        </w:tc>
        <w:tc>
          <w:tcPr>
            <w:tcW w:w="1130" w:type="dxa"/>
          </w:tcPr>
          <w:p w14:paraId="6FD8A655">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按实结算</w:t>
            </w:r>
          </w:p>
        </w:tc>
        <w:tc>
          <w:tcPr>
            <w:tcW w:w="1007" w:type="dxa"/>
          </w:tcPr>
          <w:p w14:paraId="6571FE31">
            <w:pPr>
              <w:spacing w:line="48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840" w:type="dxa"/>
          </w:tcPr>
          <w:p w14:paraId="61318C9E">
            <w:pPr>
              <w:spacing w:line="480" w:lineRule="exact"/>
              <w:rPr>
                <w:rFonts w:hint="eastAsia" w:ascii="宋体" w:hAnsi="宋体" w:eastAsia="宋体" w:cs="宋体"/>
                <w:sz w:val="24"/>
                <w:szCs w:val="24"/>
                <w:highlight w:val="none"/>
              </w:rPr>
            </w:pPr>
          </w:p>
        </w:tc>
      </w:tr>
      <w:bookmarkEnd w:id="4"/>
    </w:tbl>
    <w:p w14:paraId="0477CE46">
      <w:pPr>
        <w:rPr>
          <w:rFonts w:hint="eastAsia" w:ascii="宋体" w:hAnsi="宋体" w:eastAsia="宋体" w:cs="宋体"/>
          <w:color w:val="000000"/>
          <w:sz w:val="24"/>
          <w:szCs w:val="24"/>
          <w:highlight w:val="none"/>
        </w:rPr>
      </w:pPr>
    </w:p>
    <w:p w14:paraId="63F4BC07">
      <w:pPr>
        <w:rPr>
          <w:rFonts w:hint="eastAsia" w:ascii="宋体" w:hAnsi="宋体" w:eastAsia="宋体" w:cs="宋体"/>
          <w:color w:val="000000"/>
          <w:sz w:val="24"/>
          <w:szCs w:val="24"/>
          <w:highlight w:val="none"/>
        </w:rPr>
      </w:pPr>
    </w:p>
    <w:p w14:paraId="68B24614">
      <w:pPr>
        <w:rPr>
          <w:rFonts w:ascii="宋体" w:hAnsi="宋体"/>
          <w:color w:val="000000"/>
          <w:sz w:val="24"/>
          <w:szCs w:val="24"/>
          <w:highlight w:val="none"/>
        </w:rPr>
      </w:pPr>
    </w:p>
    <w:p w14:paraId="1065DD9A">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5E8FDD10">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2094F17D">
      <w:pPr>
        <w:jc w:val="center"/>
        <w:rPr>
          <w:rFonts w:ascii="宋体" w:hAnsi="宋体"/>
          <w:b/>
          <w:sz w:val="28"/>
          <w:szCs w:val="28"/>
          <w:highlight w:val="none"/>
        </w:rPr>
      </w:pPr>
      <w:r>
        <w:rPr>
          <w:rFonts w:hint="eastAsia" w:ascii="宋体" w:hAnsi="宋体"/>
          <w:b/>
          <w:sz w:val="28"/>
          <w:szCs w:val="28"/>
          <w:highlight w:val="none"/>
        </w:rPr>
        <w:t>项目评分标准</w:t>
      </w:r>
    </w:p>
    <w:p w14:paraId="109E9CE5">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2CDD9ACE">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本项目采用“综合评分法”，进行评标。</w:t>
      </w:r>
    </w:p>
    <w:p w14:paraId="57FEC8DE">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014401D1">
      <w:pPr>
        <w:spacing w:line="300" w:lineRule="auto"/>
        <w:rPr>
          <w:rFonts w:ascii="宋体" w:hAnsi="宋体"/>
          <w:spacing w:val="10"/>
          <w:sz w:val="24"/>
          <w:szCs w:val="20"/>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总分</w:t>
      </w:r>
      <w:r>
        <w:rPr>
          <w:rFonts w:ascii="宋体" w:hAnsi="宋体"/>
          <w:spacing w:val="10"/>
          <w:sz w:val="24"/>
          <w:szCs w:val="20"/>
          <w:highlight w:val="none"/>
        </w:rPr>
        <w:t>最高</w:t>
      </w:r>
      <w:r>
        <w:rPr>
          <w:rFonts w:hint="eastAsia" w:ascii="宋体" w:hAnsi="宋体"/>
          <w:spacing w:val="10"/>
          <w:sz w:val="24"/>
          <w:szCs w:val="20"/>
          <w:highlight w:val="none"/>
        </w:rPr>
        <w:t>的投标人为第一</w:t>
      </w:r>
      <w:r>
        <w:rPr>
          <w:rFonts w:ascii="宋体" w:hAnsi="宋体"/>
          <w:spacing w:val="10"/>
          <w:sz w:val="24"/>
          <w:szCs w:val="20"/>
          <w:highlight w:val="none"/>
        </w:rPr>
        <w:t>中标候选人</w:t>
      </w:r>
      <w:r>
        <w:rPr>
          <w:rFonts w:hint="eastAsia" w:ascii="宋体" w:hAnsi="宋体"/>
          <w:spacing w:val="10"/>
          <w:sz w:val="24"/>
          <w:szCs w:val="20"/>
          <w:highlight w:val="none"/>
        </w:rPr>
        <w:t>；出现得分并列时，以投标价格较低的投标人为中标人，价格相同的则由评委会随机抽取中标候选人推荐中标。</w:t>
      </w:r>
    </w:p>
    <w:p w14:paraId="4A874839">
      <w:pPr>
        <w:spacing w:line="300" w:lineRule="auto"/>
        <w:rPr>
          <w:rFonts w:ascii="宋体" w:hAnsi="宋体"/>
          <w:spacing w:val="10"/>
          <w:sz w:val="24"/>
          <w:szCs w:val="20"/>
          <w:highlight w:val="none"/>
        </w:rPr>
      </w:pPr>
      <w:r>
        <w:rPr>
          <w:rFonts w:ascii="宋体" w:hAnsi="宋体"/>
          <w:spacing w:val="10"/>
          <w:sz w:val="24"/>
          <w:szCs w:val="20"/>
          <w:highlight w:val="none"/>
        </w:rPr>
        <w:t>4</w:t>
      </w:r>
      <w:r>
        <w:rPr>
          <w:rFonts w:hint="eastAsia" w:ascii="宋体" w:hAnsi="宋体"/>
          <w:spacing w:val="10"/>
          <w:sz w:val="24"/>
          <w:szCs w:val="20"/>
          <w:highlight w:val="none"/>
        </w:rPr>
        <w:t>.</w:t>
      </w:r>
      <w:r>
        <w:rPr>
          <w:rFonts w:hint="eastAsia" w:ascii="宋体" w:hAnsi="宋体"/>
          <w:spacing w:val="10"/>
          <w:sz w:val="24"/>
          <w:szCs w:val="20"/>
          <w:highlight w:val="none"/>
          <w:lang w:val="en-US" w:eastAsia="zh-CN"/>
        </w:rPr>
        <w:t xml:space="preserve"> </w:t>
      </w:r>
      <w:r>
        <w:rPr>
          <w:rFonts w:ascii="宋体" w:hAnsi="宋体"/>
          <w:spacing w:val="10"/>
          <w:sz w:val="24"/>
          <w:szCs w:val="20"/>
          <w:highlight w:val="none"/>
        </w:rPr>
        <w:t>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439A269F">
      <w:pPr>
        <w:spacing w:line="300" w:lineRule="auto"/>
        <w:rPr>
          <w:rFonts w:ascii="宋体" w:hAnsi="宋体"/>
          <w:spacing w:val="10"/>
          <w:sz w:val="24"/>
          <w:szCs w:val="20"/>
          <w:highlight w:val="none"/>
        </w:rPr>
      </w:pPr>
      <w:r>
        <w:rPr>
          <w:rFonts w:hint="eastAsia" w:ascii="宋体" w:hAnsi="宋体"/>
          <w:spacing w:val="10"/>
          <w:sz w:val="24"/>
          <w:szCs w:val="20"/>
          <w:highlight w:val="none"/>
        </w:rPr>
        <w:t>5</w:t>
      </w:r>
      <w:r>
        <w:rPr>
          <w:rFonts w:ascii="宋体" w:hAnsi="宋体"/>
          <w:spacing w:val="10"/>
          <w:sz w:val="24"/>
          <w:szCs w:val="20"/>
          <w:highlight w:val="none"/>
        </w:rPr>
        <w:t>.</w:t>
      </w:r>
      <w:r>
        <w:rPr>
          <w:rFonts w:hint="eastAsia" w:ascii="宋体" w:hAnsi="宋体"/>
          <w:spacing w:val="10"/>
          <w:sz w:val="24"/>
          <w:szCs w:val="20"/>
          <w:highlight w:val="none"/>
          <w:lang w:val="en-US" w:eastAsia="zh-CN"/>
        </w:rPr>
        <w:t xml:space="preserve"> </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6FEA835D">
      <w:pPr>
        <w:spacing w:line="300" w:lineRule="auto"/>
        <w:rPr>
          <w:rFonts w:ascii="宋体" w:hAnsi="宋体"/>
          <w:spacing w:val="10"/>
          <w:sz w:val="24"/>
          <w:szCs w:val="20"/>
          <w:highlight w:val="none"/>
        </w:rPr>
      </w:pPr>
      <w:r>
        <w:rPr>
          <w:rFonts w:ascii="宋体" w:hAnsi="宋体"/>
          <w:spacing w:val="10"/>
          <w:sz w:val="24"/>
          <w:szCs w:val="20"/>
          <w:highlight w:val="none"/>
        </w:rPr>
        <w:t>6</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49FAE7BB">
      <w:pPr>
        <w:spacing w:line="300" w:lineRule="auto"/>
        <w:rPr>
          <w:rFonts w:ascii="宋体" w:hAnsi="宋体"/>
          <w:spacing w:val="10"/>
          <w:sz w:val="24"/>
          <w:szCs w:val="20"/>
          <w:highlight w:val="none"/>
        </w:rPr>
      </w:pPr>
    </w:p>
    <w:p w14:paraId="7C7B8C1C">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63A169A9">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5CAA8713">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670829D1">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5DBAF0B3">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rPr>
        <w:t>签字；</w:t>
      </w:r>
    </w:p>
    <w:p w14:paraId="4F4E9329">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21399850">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60527284">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b/>
          <w:sz w:val="24"/>
          <w:highlight w:val="none"/>
        </w:rPr>
        <w:t>”</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2B26DC8C">
      <w:pPr>
        <w:numPr>
          <w:ilvl w:val="6"/>
          <w:numId w:val="13"/>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58</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lang w:eastAsia="zh-CN"/>
        </w:rPr>
        <w:t>，</w:t>
      </w:r>
      <w:r>
        <w:rPr>
          <w:rFonts w:hint="eastAsia" w:ascii="宋体" w:hAnsi="宋体"/>
          <w:sz w:val="24"/>
          <w:szCs w:val="24"/>
          <w:highlight w:val="none"/>
        </w:rPr>
        <w:t>中译英翻译服务每千字高于1000元</w:t>
      </w:r>
      <w:r>
        <w:rPr>
          <w:rFonts w:hint="eastAsia" w:ascii="宋体" w:hAnsi="宋体"/>
          <w:sz w:val="24"/>
          <w:szCs w:val="24"/>
          <w:highlight w:val="none"/>
          <w:lang w:eastAsia="zh-CN"/>
        </w:rPr>
        <w:t>，</w:t>
      </w:r>
      <w:r>
        <w:rPr>
          <w:rFonts w:hint="eastAsia" w:ascii="宋体" w:hAnsi="宋体"/>
          <w:sz w:val="24"/>
          <w:szCs w:val="24"/>
          <w:highlight w:val="none"/>
        </w:rPr>
        <w:t>英译中翻译服务每千字高于800元</w:t>
      </w:r>
      <w:r>
        <w:rPr>
          <w:rFonts w:hint="eastAsia" w:ascii="宋体" w:hAnsi="宋体"/>
          <w:sz w:val="24"/>
          <w:szCs w:val="24"/>
          <w:highlight w:val="none"/>
          <w:lang w:eastAsia="zh-CN"/>
        </w:rPr>
        <w:t>，</w:t>
      </w:r>
      <w:r>
        <w:rPr>
          <w:rFonts w:hint="eastAsia" w:ascii="宋体" w:hAnsi="宋体"/>
          <w:sz w:val="24"/>
          <w:szCs w:val="24"/>
          <w:highlight w:val="none"/>
        </w:rPr>
        <w:t>中译俄翻译服务每千字高于1000元</w:t>
      </w:r>
      <w:r>
        <w:rPr>
          <w:rFonts w:hint="eastAsia" w:ascii="宋体" w:hAnsi="宋体"/>
          <w:sz w:val="24"/>
          <w:szCs w:val="24"/>
          <w:highlight w:val="none"/>
          <w:lang w:eastAsia="zh-CN"/>
        </w:rPr>
        <w:t>，</w:t>
      </w:r>
      <w:r>
        <w:rPr>
          <w:rFonts w:hint="eastAsia" w:ascii="宋体" w:hAnsi="宋体"/>
          <w:sz w:val="24"/>
          <w:szCs w:val="24"/>
          <w:highlight w:val="none"/>
        </w:rPr>
        <w:t>中译阿拉伯语翻译服务每千字高于1000元</w:t>
      </w:r>
      <w:r>
        <w:rPr>
          <w:rFonts w:hint="eastAsia" w:ascii="宋体" w:hAnsi="宋体"/>
          <w:sz w:val="24"/>
          <w:szCs w:val="24"/>
          <w:highlight w:val="none"/>
          <w:lang w:eastAsia="zh-CN"/>
        </w:rPr>
        <w:t>，</w:t>
      </w:r>
      <w:r>
        <w:rPr>
          <w:rFonts w:hint="eastAsia" w:ascii="宋体" w:hAnsi="宋体"/>
          <w:sz w:val="24"/>
          <w:szCs w:val="24"/>
          <w:highlight w:val="none"/>
        </w:rPr>
        <w:t>中译葡萄牙语翻译服务每千字高于1000元</w:t>
      </w:r>
      <w:r>
        <w:rPr>
          <w:rFonts w:hint="eastAsia" w:ascii="宋体" w:hAnsi="宋体"/>
          <w:sz w:val="24"/>
          <w:szCs w:val="24"/>
          <w:highlight w:val="none"/>
          <w:lang w:eastAsia="zh-CN"/>
        </w:rPr>
        <w:t>，</w:t>
      </w:r>
      <w:r>
        <w:rPr>
          <w:rFonts w:hint="eastAsia" w:ascii="宋体" w:hAnsi="宋体"/>
          <w:sz w:val="24"/>
          <w:szCs w:val="24"/>
          <w:highlight w:val="none"/>
        </w:rPr>
        <w:t>中译土耳其语翻译服务每千字高于1000元</w:t>
      </w:r>
      <w:r>
        <w:rPr>
          <w:rFonts w:hint="eastAsia" w:ascii="宋体" w:hAnsi="宋体"/>
          <w:sz w:val="24"/>
          <w:szCs w:val="24"/>
          <w:highlight w:val="none"/>
          <w:lang w:eastAsia="zh-CN"/>
        </w:rPr>
        <w:t>，</w:t>
      </w:r>
      <w:r>
        <w:rPr>
          <w:rFonts w:hint="eastAsia" w:ascii="宋体" w:hAnsi="宋体"/>
          <w:sz w:val="24"/>
          <w:szCs w:val="24"/>
          <w:highlight w:val="none"/>
        </w:rPr>
        <w:t>中译印尼语翻译服务每千字高于1000元；</w:t>
      </w:r>
    </w:p>
    <w:p w14:paraId="1DBA5E26">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546A8DD0">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5978D105">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19641BB4">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601A3C7E">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6A4824C4">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2DAE445E">
      <w:pPr>
        <w:numPr>
          <w:ilvl w:val="6"/>
          <w:numId w:val="13"/>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4542318A">
      <w:pPr>
        <w:tabs>
          <w:tab w:val="left" w:pos="360"/>
          <w:tab w:val="left" w:pos="3660"/>
        </w:tabs>
        <w:spacing w:line="300" w:lineRule="auto"/>
        <w:ind w:left="360"/>
        <w:rPr>
          <w:rFonts w:ascii="宋体" w:hAnsi="宋体"/>
          <w:sz w:val="24"/>
          <w:szCs w:val="24"/>
          <w:highlight w:val="none"/>
        </w:rPr>
      </w:pPr>
    </w:p>
    <w:p w14:paraId="7AF1683A">
      <w:pPr>
        <w:spacing w:line="360" w:lineRule="auto"/>
        <w:rPr>
          <w:rFonts w:ascii="宋体" w:hAnsi="宋体"/>
          <w:b/>
          <w:sz w:val="24"/>
          <w:szCs w:val="24"/>
          <w:highlight w:val="none"/>
        </w:rPr>
      </w:pPr>
      <w:r>
        <w:rPr>
          <w:rFonts w:hint="eastAsia" w:ascii="宋体" w:hAnsi="宋体"/>
          <w:b/>
          <w:sz w:val="24"/>
          <w:szCs w:val="24"/>
          <w:highlight w:val="none"/>
        </w:rPr>
        <w:t>三、评标标准</w:t>
      </w:r>
    </w:p>
    <w:p w14:paraId="29CB248D">
      <w:pPr>
        <w:spacing w:line="360" w:lineRule="auto"/>
        <w:ind w:firstLine="566" w:firstLineChars="236"/>
        <w:rPr>
          <w:rFonts w:ascii="宋体" w:hAnsi="宋体"/>
          <w:sz w:val="24"/>
          <w:szCs w:val="24"/>
          <w:highlight w:val="none"/>
        </w:rPr>
      </w:pPr>
      <w:r>
        <w:rPr>
          <w:rFonts w:hint="eastAsia" w:ascii="宋体" w:hAnsi="宋体"/>
          <w:sz w:val="24"/>
          <w:szCs w:val="24"/>
          <w:highlight w:val="none"/>
        </w:rPr>
        <w:t>本招标评标采用综合评分法，满分为100分：其中价格分为</w:t>
      </w:r>
      <w:r>
        <w:rPr>
          <w:rFonts w:hint="eastAsia" w:ascii="宋体" w:hAnsi="宋体"/>
          <w:sz w:val="24"/>
          <w:szCs w:val="24"/>
          <w:highlight w:val="none"/>
          <w:lang w:val="en-US" w:eastAsia="zh-CN"/>
        </w:rPr>
        <w:t>20</w:t>
      </w:r>
      <w:r>
        <w:rPr>
          <w:rFonts w:hint="eastAsia" w:ascii="宋体" w:hAnsi="宋体"/>
          <w:sz w:val="24"/>
          <w:szCs w:val="24"/>
          <w:highlight w:val="none"/>
        </w:rPr>
        <w:t>分，商务技术分为</w:t>
      </w:r>
      <w:r>
        <w:rPr>
          <w:rFonts w:hint="eastAsia" w:ascii="宋体" w:hAnsi="宋体"/>
          <w:sz w:val="24"/>
          <w:szCs w:val="24"/>
          <w:highlight w:val="none"/>
          <w:lang w:val="en-US" w:eastAsia="zh-CN"/>
        </w:rPr>
        <w:t>80</w:t>
      </w:r>
      <w:r>
        <w:rPr>
          <w:rFonts w:hint="eastAsia" w:ascii="宋体" w:hAnsi="宋体"/>
          <w:sz w:val="24"/>
          <w:szCs w:val="24"/>
          <w:highlight w:val="none"/>
        </w:rPr>
        <w:t>分。</w:t>
      </w:r>
    </w:p>
    <w:p w14:paraId="7D849E4D">
      <w:pPr>
        <w:spacing w:line="300" w:lineRule="auto"/>
        <w:ind w:firstLine="613" w:firstLineChars="236"/>
        <w:rPr>
          <w:rFonts w:ascii="宋体" w:hAnsi="宋体"/>
          <w:color w:val="000000"/>
          <w:spacing w:val="10"/>
          <w:sz w:val="24"/>
          <w:highlight w:val="none"/>
        </w:rPr>
      </w:pPr>
      <w:r>
        <w:rPr>
          <w:rFonts w:hint="eastAsia" w:ascii="宋体" w:hAnsi="宋体"/>
          <w:color w:val="000000"/>
          <w:spacing w:val="10"/>
          <w:sz w:val="24"/>
          <w:szCs w:val="20"/>
          <w:highlight w:val="none"/>
        </w:rPr>
        <w:t>如某投标人投标总价低于全部通过符合性审查投标人报价均价的比例超过</w:t>
      </w:r>
      <w:r>
        <w:rPr>
          <w:rFonts w:hint="eastAsia" w:ascii="宋体" w:hAnsi="宋体"/>
          <w:color w:val="000000"/>
          <w:spacing w:val="10"/>
          <w:sz w:val="24"/>
          <w:szCs w:val="20"/>
          <w:highlight w:val="none"/>
          <w:lang w:val="en-US" w:eastAsia="zh-CN"/>
        </w:rPr>
        <w:t>27.33</w:t>
      </w:r>
      <w:r>
        <w:rPr>
          <w:rFonts w:ascii="宋体" w:hAnsi="宋体"/>
          <w:color w:val="000000"/>
          <w:spacing w:val="10"/>
          <w:sz w:val="24"/>
          <w:szCs w:val="20"/>
          <w:highlight w:val="none"/>
        </w:rPr>
        <w:t>%</w:t>
      </w:r>
      <w:r>
        <w:rPr>
          <w:rFonts w:hint="eastAsia" w:ascii="宋体" w:hAnsi="宋体"/>
          <w:color w:val="000000"/>
          <w:spacing w:val="10"/>
          <w:sz w:val="24"/>
          <w:szCs w:val="20"/>
          <w:highlight w:val="none"/>
        </w:rPr>
        <w:t>（含），</w:t>
      </w:r>
      <w:r>
        <w:rPr>
          <w:rFonts w:hint="eastAsia" w:ascii="宋体" w:hAnsi="宋体"/>
          <w:color w:val="000000"/>
          <w:spacing w:val="10"/>
          <w:sz w:val="24"/>
          <w:highlight w:val="none"/>
        </w:rPr>
        <w:t>投标人需在合理的时间内提供书面说明，证明其能够诚信履约并承诺中标后提供采购文件规定以外的履约担保,可继续参加评审,否则评标委员会应投票表决是否将其作为无效投标处理。</w:t>
      </w:r>
    </w:p>
    <w:p w14:paraId="1BA87A63">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若所有的有效投标经评分后商务技术得分大于等于</w:t>
      </w:r>
      <w:r>
        <w:rPr>
          <w:rFonts w:hint="eastAsia" w:ascii="宋体" w:hAnsi="宋体"/>
          <w:color w:val="000000"/>
          <w:spacing w:val="10"/>
          <w:sz w:val="24"/>
          <w:szCs w:val="20"/>
          <w:highlight w:val="none"/>
          <w:u w:val="single"/>
        </w:rPr>
        <w:t xml:space="preserve"> </w:t>
      </w:r>
      <w:r>
        <w:rPr>
          <w:rFonts w:hint="eastAsia" w:ascii="宋体" w:hAnsi="宋体"/>
          <w:color w:val="000000"/>
          <w:spacing w:val="10"/>
          <w:sz w:val="24"/>
          <w:szCs w:val="20"/>
          <w:highlight w:val="none"/>
          <w:u w:val="single"/>
          <w:lang w:val="en-US" w:eastAsia="zh-CN"/>
        </w:rPr>
        <w:t>48</w:t>
      </w:r>
      <w:r>
        <w:rPr>
          <w:rFonts w:ascii="宋体" w:hAnsi="宋体"/>
          <w:color w:val="000000"/>
          <w:spacing w:val="10"/>
          <w:sz w:val="24"/>
          <w:szCs w:val="20"/>
          <w:highlight w:val="none"/>
          <w:u w:val="single"/>
        </w:rPr>
        <w:t xml:space="preserve"> </w:t>
      </w:r>
      <w:r>
        <w:rPr>
          <w:rFonts w:hint="eastAsia" w:ascii="宋体" w:hAnsi="宋体"/>
          <w:color w:val="000000"/>
          <w:spacing w:val="10"/>
          <w:sz w:val="24"/>
          <w:szCs w:val="20"/>
          <w:highlight w:val="none"/>
        </w:rPr>
        <w:t>分的投标少于</w:t>
      </w:r>
      <w:r>
        <w:rPr>
          <w:rFonts w:ascii="宋体" w:hAnsi="宋体"/>
          <w:color w:val="000000"/>
          <w:spacing w:val="10"/>
          <w:sz w:val="24"/>
          <w:szCs w:val="20"/>
          <w:highlight w:val="none"/>
        </w:rPr>
        <w:t>1</w:t>
      </w:r>
      <w:r>
        <w:rPr>
          <w:rFonts w:hint="eastAsia" w:ascii="宋体" w:hAnsi="宋体"/>
          <w:color w:val="000000"/>
          <w:spacing w:val="10"/>
          <w:sz w:val="24"/>
          <w:szCs w:val="20"/>
          <w:highlight w:val="none"/>
        </w:rPr>
        <w:t>家，本次采购作流标处理。</w:t>
      </w:r>
    </w:p>
    <w:p w14:paraId="38F6EDBC">
      <w:pPr>
        <w:spacing w:line="300" w:lineRule="auto"/>
        <w:ind w:firstLine="613" w:firstLineChars="236"/>
        <w:rPr>
          <w:rFonts w:ascii="宋体" w:hAnsi="宋体"/>
          <w:color w:val="000000"/>
          <w:spacing w:val="10"/>
          <w:sz w:val="24"/>
          <w:szCs w:val="20"/>
          <w:highlight w:val="none"/>
        </w:rPr>
      </w:pPr>
    </w:p>
    <w:p w14:paraId="766F16C3">
      <w:pPr>
        <w:spacing w:line="360" w:lineRule="auto"/>
        <w:rPr>
          <w:rFonts w:ascii="宋体" w:hAnsi="宋体"/>
          <w:b/>
          <w:sz w:val="24"/>
          <w:szCs w:val="24"/>
          <w:highlight w:val="none"/>
        </w:rPr>
      </w:pPr>
      <w:r>
        <w:rPr>
          <w:rFonts w:hint="eastAsia" w:ascii="宋体" w:hAnsi="宋体"/>
          <w:b/>
          <w:sz w:val="24"/>
          <w:szCs w:val="24"/>
          <w:highlight w:val="none"/>
        </w:rPr>
        <w:t>四</w:t>
      </w:r>
      <w:r>
        <w:rPr>
          <w:rFonts w:ascii="宋体" w:hAnsi="宋体"/>
          <w:b/>
          <w:sz w:val="24"/>
          <w:szCs w:val="24"/>
          <w:highlight w:val="none"/>
        </w:rPr>
        <w:t>、</w:t>
      </w:r>
      <w:r>
        <w:rPr>
          <w:rFonts w:hint="eastAsia" w:ascii="宋体" w:hAnsi="宋体"/>
          <w:b/>
          <w:sz w:val="24"/>
          <w:szCs w:val="24"/>
          <w:highlight w:val="none"/>
        </w:rPr>
        <w:t>价格评分</w:t>
      </w:r>
    </w:p>
    <w:p w14:paraId="3B79B68B">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符合招标文件要求的为有效投标。所有有效投标人中最低投标价格作为评标基准价，其得分为满分（</w:t>
      </w:r>
      <w:r>
        <w:rPr>
          <w:rFonts w:hint="eastAsia" w:ascii="宋体" w:hAnsi="宋体"/>
          <w:color w:val="000000"/>
          <w:spacing w:val="10"/>
          <w:sz w:val="24"/>
          <w:szCs w:val="20"/>
          <w:highlight w:val="none"/>
          <w:lang w:val="en-US" w:eastAsia="zh-CN"/>
        </w:rPr>
        <w:t>20</w:t>
      </w:r>
      <w:r>
        <w:rPr>
          <w:rFonts w:hint="eastAsia" w:ascii="宋体" w:hAnsi="宋体"/>
          <w:color w:val="000000"/>
          <w:spacing w:val="10"/>
          <w:sz w:val="24"/>
          <w:szCs w:val="20"/>
          <w:highlight w:val="none"/>
        </w:rPr>
        <w:t>分），其他有效投标报价得分计算公式如下：</w:t>
      </w:r>
    </w:p>
    <w:p w14:paraId="44D29FC3">
      <w:pPr>
        <w:spacing w:line="300" w:lineRule="auto"/>
        <w:ind w:firstLine="613" w:firstLineChars="236"/>
        <w:rPr>
          <w:rFonts w:hint="default" w:ascii="宋体" w:hAnsi="宋体" w:eastAsia="宋体"/>
          <w:color w:val="000000"/>
          <w:spacing w:val="10"/>
          <w:sz w:val="24"/>
          <w:szCs w:val="20"/>
          <w:highlight w:val="none"/>
          <w:lang w:val="en-US" w:eastAsia="zh-CN"/>
        </w:rPr>
      </w:pPr>
      <w:r>
        <w:rPr>
          <w:rFonts w:hint="eastAsia" w:ascii="宋体" w:hAnsi="宋体"/>
          <w:color w:val="000000"/>
          <w:spacing w:val="10"/>
          <w:sz w:val="24"/>
          <w:szCs w:val="20"/>
          <w:highlight w:val="none"/>
        </w:rPr>
        <w:t>投标价格得分=（评标基准价/投标报价）*</w:t>
      </w:r>
      <w:r>
        <w:rPr>
          <w:rFonts w:hint="eastAsia" w:ascii="宋体" w:hAnsi="宋体"/>
          <w:color w:val="000000"/>
          <w:spacing w:val="10"/>
          <w:sz w:val="24"/>
          <w:szCs w:val="20"/>
          <w:highlight w:val="none"/>
          <w:lang w:val="en-US" w:eastAsia="zh-CN"/>
        </w:rPr>
        <w:t>20</w:t>
      </w:r>
    </w:p>
    <w:p w14:paraId="7EEC8C4B">
      <w:pPr>
        <w:spacing w:line="360" w:lineRule="auto"/>
        <w:rPr>
          <w:rFonts w:ascii="宋体" w:hAnsi="宋体"/>
          <w:b/>
          <w:sz w:val="24"/>
          <w:szCs w:val="24"/>
          <w:highlight w:val="none"/>
        </w:rPr>
      </w:pPr>
      <w:r>
        <w:rPr>
          <w:rFonts w:hint="eastAsia" w:ascii="宋体" w:hAnsi="宋体"/>
          <w:b/>
          <w:sz w:val="24"/>
          <w:szCs w:val="24"/>
          <w:highlight w:val="none"/>
        </w:rPr>
        <w:t>五</w:t>
      </w:r>
      <w:r>
        <w:rPr>
          <w:rFonts w:ascii="宋体" w:hAnsi="宋体"/>
          <w:b/>
          <w:sz w:val="24"/>
          <w:szCs w:val="24"/>
          <w:highlight w:val="none"/>
        </w:rPr>
        <w:t>、</w:t>
      </w:r>
      <w:r>
        <w:rPr>
          <w:rFonts w:hint="eastAsia" w:ascii="宋体" w:hAnsi="宋体"/>
          <w:b/>
          <w:sz w:val="24"/>
          <w:szCs w:val="24"/>
          <w:highlight w:val="none"/>
        </w:rPr>
        <w:t>商务</w:t>
      </w:r>
      <w:r>
        <w:rPr>
          <w:rFonts w:ascii="宋体" w:hAnsi="宋体"/>
          <w:b/>
          <w:sz w:val="24"/>
          <w:szCs w:val="24"/>
          <w:highlight w:val="none"/>
        </w:rPr>
        <w:t>技术评分</w:t>
      </w:r>
    </w:p>
    <w:p w14:paraId="3B9B3382">
      <w:pPr>
        <w:spacing w:line="300" w:lineRule="auto"/>
        <w:ind w:firstLine="613" w:firstLineChars="236"/>
        <w:rPr>
          <w:rFonts w:ascii="宋体" w:hAnsi="宋体"/>
          <w:color w:val="000000"/>
          <w:spacing w:val="10"/>
          <w:sz w:val="24"/>
          <w:szCs w:val="20"/>
          <w:highlight w:val="none"/>
        </w:rPr>
      </w:pPr>
      <w:r>
        <w:rPr>
          <w:rFonts w:hint="eastAsia" w:ascii="宋体" w:hAnsi="宋体"/>
          <w:color w:val="000000"/>
          <w:spacing w:val="10"/>
          <w:sz w:val="24"/>
          <w:szCs w:val="20"/>
          <w:highlight w:val="none"/>
        </w:rPr>
        <w:t>为使评分时能体现量化，评委按以下内容进行评定后打分，各项得分合计后计算算术平均值后为各投标单位的最终得分。</w:t>
      </w:r>
    </w:p>
    <w:p w14:paraId="325A1274">
      <w:pPr>
        <w:rPr>
          <w:rFonts w:ascii="宋体" w:hAnsi="宋体"/>
          <w:color w:val="000000"/>
          <w:spacing w:val="10"/>
          <w:szCs w:val="21"/>
          <w:highlight w:val="none"/>
        </w:rPr>
      </w:pPr>
    </w:p>
    <w:tbl>
      <w:tblPr>
        <w:tblStyle w:val="8"/>
        <w:tblpPr w:leftFromText="180" w:rightFromText="180" w:vertAnchor="text" w:horzAnchor="page" w:tblpX="1366" w:tblpY="375"/>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633"/>
        <w:gridCol w:w="5370"/>
        <w:gridCol w:w="1449"/>
      </w:tblGrid>
      <w:tr w14:paraId="0E6E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53" w:type="pct"/>
          </w:tcPr>
          <w:p w14:paraId="43EC9826">
            <w:pPr>
              <w:autoSpaceDE w:val="0"/>
              <w:autoSpaceDN w:val="0"/>
              <w:adjustRightInd w:val="0"/>
              <w:snapToGrid w:val="0"/>
              <w:spacing w:line="400" w:lineRule="exac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840" w:type="pct"/>
            <w:shd w:val="clear" w:color="auto" w:fill="auto"/>
            <w:noWrap/>
            <w:vAlign w:val="center"/>
          </w:tcPr>
          <w:p w14:paraId="6695BC39">
            <w:pPr>
              <w:autoSpaceDE w:val="0"/>
              <w:autoSpaceDN w:val="0"/>
              <w:adjustRightInd w:val="0"/>
              <w:snapToGrid w:val="0"/>
              <w:spacing w:line="400" w:lineRule="exac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评标要素</w:t>
            </w:r>
          </w:p>
        </w:tc>
        <w:tc>
          <w:tcPr>
            <w:tcW w:w="2762" w:type="pct"/>
            <w:shd w:val="clear" w:color="auto" w:fill="auto"/>
            <w:vAlign w:val="center"/>
          </w:tcPr>
          <w:p w14:paraId="1962CF6B">
            <w:pPr>
              <w:autoSpaceDE w:val="0"/>
              <w:autoSpaceDN w:val="0"/>
              <w:adjustRightInd w:val="0"/>
              <w:snapToGrid w:val="0"/>
              <w:spacing w:line="400" w:lineRule="exac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评分项</w:t>
            </w:r>
          </w:p>
        </w:tc>
        <w:tc>
          <w:tcPr>
            <w:tcW w:w="745" w:type="pct"/>
            <w:shd w:val="clear" w:color="auto" w:fill="auto"/>
            <w:noWrap/>
            <w:vAlign w:val="center"/>
          </w:tcPr>
          <w:p w14:paraId="7EBC073F">
            <w:pPr>
              <w:autoSpaceDE w:val="0"/>
              <w:autoSpaceDN w:val="0"/>
              <w:adjustRightInd w:val="0"/>
              <w:snapToGrid w:val="0"/>
              <w:spacing w:line="400" w:lineRule="exact"/>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分值</w:t>
            </w:r>
          </w:p>
        </w:tc>
      </w:tr>
      <w:tr w14:paraId="4E98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53" w:type="pct"/>
            <w:vAlign w:val="center"/>
          </w:tcPr>
          <w:p w14:paraId="513D21F3">
            <w:pPr>
              <w:autoSpaceDE w:val="0"/>
              <w:autoSpaceDN w:val="0"/>
              <w:adjustRightInd w:val="0"/>
              <w:snapToGrid w:val="0"/>
              <w:spacing w:line="400" w:lineRule="exact"/>
              <w:rPr>
                <w:rFonts w:hint="eastAsia" w:ascii="宋体" w:hAnsi="宋体" w:eastAsia="宋体" w:cs="宋体"/>
                <w:bCs/>
                <w:kern w:val="0"/>
                <w:sz w:val="24"/>
                <w:szCs w:val="24"/>
                <w:highlight w:val="none"/>
              </w:rPr>
            </w:pPr>
          </w:p>
          <w:p w14:paraId="314C40E5">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840" w:type="pct"/>
            <w:shd w:val="clear" w:color="auto" w:fill="auto"/>
            <w:noWrap/>
            <w:vAlign w:val="center"/>
          </w:tcPr>
          <w:p w14:paraId="55624DF5">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375595C2">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695F0093">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案例</w:t>
            </w:r>
          </w:p>
          <w:p w14:paraId="7CA60414">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tc>
        <w:tc>
          <w:tcPr>
            <w:tcW w:w="2762" w:type="pct"/>
            <w:shd w:val="clear" w:color="auto" w:fill="auto"/>
            <w:vAlign w:val="center"/>
          </w:tcPr>
          <w:p w14:paraId="07F77D1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1、自2022年1月1日起至本项目截标时日止，投标人提供具有同类机构文书中英互译翻译服务的合同案例，每个案例得2分。本项最高得10分。</w:t>
            </w:r>
          </w:p>
          <w:p w14:paraId="3C8583C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2、自2022年1月1日起至本项目截标时日止，投标人提供具有同类机构文书</w:t>
            </w:r>
            <w:r>
              <w:rPr>
                <w:rFonts w:hint="eastAsia" w:ascii="宋体" w:hAnsi="宋体" w:eastAsia="宋体" w:cs="宋体"/>
                <w:iCs/>
                <w:sz w:val="24"/>
                <w:szCs w:val="24"/>
                <w:highlight w:val="none"/>
              </w:rPr>
              <w:t>中译俄、中译阿拉伯语、中译葡萄牙语、中译土耳其语、中译印尼语</w:t>
            </w:r>
            <w:r>
              <w:rPr>
                <w:rFonts w:hint="eastAsia" w:ascii="宋体" w:hAnsi="宋体" w:eastAsia="宋体" w:cs="宋体"/>
                <w:bCs/>
                <w:kern w:val="0"/>
                <w:sz w:val="24"/>
                <w:szCs w:val="24"/>
                <w:highlight w:val="none"/>
              </w:rPr>
              <w:t>翻译服务的合同案例，每个案例得1分，且每个语种案例最多得1分。本项最高得5分。</w:t>
            </w:r>
          </w:p>
          <w:p w14:paraId="691D9FF7">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w:t>
            </w:r>
          </w:p>
          <w:p w14:paraId="308EC0C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1、合同须为投标人签署，其子公司合同不得分</w:t>
            </w:r>
          </w:p>
          <w:p w14:paraId="6F86DB19">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2、合同无签署日期不得分。</w:t>
            </w:r>
          </w:p>
          <w:p w14:paraId="70ED25B7">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3、需提供合同复印件，要求显示服务内容等主要项目要素，否则不得分。</w:t>
            </w:r>
          </w:p>
        </w:tc>
        <w:tc>
          <w:tcPr>
            <w:tcW w:w="745" w:type="pct"/>
            <w:shd w:val="clear" w:color="auto" w:fill="auto"/>
            <w:noWrap/>
            <w:vAlign w:val="center"/>
          </w:tcPr>
          <w:p w14:paraId="54CCC46E">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15</w:t>
            </w:r>
          </w:p>
        </w:tc>
      </w:tr>
      <w:tr w14:paraId="6A93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5" w:hRule="atLeast"/>
        </w:trPr>
        <w:tc>
          <w:tcPr>
            <w:tcW w:w="653" w:type="pct"/>
            <w:vMerge w:val="restart"/>
            <w:vAlign w:val="center"/>
          </w:tcPr>
          <w:p w14:paraId="503E28DD">
            <w:pPr>
              <w:widowControl/>
              <w:jc w:val="center"/>
              <w:rPr>
                <w:rFonts w:hint="eastAsia" w:ascii="宋体" w:hAnsi="宋体" w:eastAsia="宋体" w:cs="宋体"/>
                <w:kern w:val="0"/>
                <w:sz w:val="24"/>
                <w:szCs w:val="24"/>
                <w:highlight w:val="none"/>
              </w:rPr>
            </w:pPr>
          </w:p>
          <w:p w14:paraId="7BB28777">
            <w:pPr>
              <w:widowControl/>
              <w:jc w:val="center"/>
              <w:rPr>
                <w:rFonts w:hint="eastAsia" w:ascii="宋体" w:hAnsi="宋体" w:eastAsia="宋体" w:cs="宋体"/>
                <w:kern w:val="0"/>
                <w:sz w:val="24"/>
                <w:szCs w:val="24"/>
                <w:highlight w:val="none"/>
              </w:rPr>
            </w:pPr>
          </w:p>
          <w:p w14:paraId="0B03D0A0">
            <w:pPr>
              <w:widowControl/>
              <w:jc w:val="center"/>
              <w:rPr>
                <w:rFonts w:hint="eastAsia" w:ascii="宋体" w:hAnsi="宋体" w:eastAsia="宋体" w:cs="宋体"/>
                <w:kern w:val="0"/>
                <w:sz w:val="24"/>
                <w:szCs w:val="24"/>
                <w:highlight w:val="none"/>
              </w:rPr>
            </w:pPr>
          </w:p>
          <w:p w14:paraId="2C674F49">
            <w:pPr>
              <w:widowControl/>
              <w:jc w:val="center"/>
              <w:rPr>
                <w:rFonts w:hint="eastAsia" w:ascii="宋体" w:hAnsi="宋体" w:eastAsia="宋体" w:cs="宋体"/>
                <w:kern w:val="0"/>
                <w:sz w:val="24"/>
                <w:szCs w:val="24"/>
                <w:highlight w:val="none"/>
              </w:rPr>
            </w:pPr>
          </w:p>
          <w:p w14:paraId="12597019">
            <w:pPr>
              <w:widowControl/>
              <w:jc w:val="center"/>
              <w:rPr>
                <w:rFonts w:hint="eastAsia" w:ascii="宋体" w:hAnsi="宋体" w:eastAsia="宋体" w:cs="宋体"/>
                <w:kern w:val="0"/>
                <w:sz w:val="24"/>
                <w:szCs w:val="24"/>
                <w:highlight w:val="none"/>
              </w:rPr>
            </w:pPr>
          </w:p>
          <w:p w14:paraId="0C2E3AFD">
            <w:pPr>
              <w:widowControl/>
              <w:jc w:val="center"/>
              <w:rPr>
                <w:rFonts w:hint="eastAsia" w:ascii="宋体" w:hAnsi="宋体" w:eastAsia="宋体" w:cs="宋体"/>
                <w:kern w:val="0"/>
                <w:sz w:val="24"/>
                <w:szCs w:val="24"/>
                <w:highlight w:val="none"/>
              </w:rPr>
            </w:pPr>
          </w:p>
          <w:p w14:paraId="6499AF75">
            <w:pPr>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p w14:paraId="76ED1A81">
            <w:pPr>
              <w:widowControl/>
              <w:jc w:val="center"/>
              <w:rPr>
                <w:rFonts w:hint="eastAsia" w:ascii="宋体" w:hAnsi="宋体" w:eastAsia="宋体" w:cs="宋体"/>
                <w:kern w:val="0"/>
                <w:sz w:val="24"/>
                <w:szCs w:val="24"/>
                <w:highlight w:val="none"/>
              </w:rPr>
            </w:pPr>
          </w:p>
          <w:p w14:paraId="011EC280">
            <w:pPr>
              <w:widowControl/>
              <w:jc w:val="center"/>
              <w:rPr>
                <w:rFonts w:hint="eastAsia" w:ascii="宋体" w:hAnsi="宋体" w:eastAsia="宋体" w:cs="宋体"/>
                <w:kern w:val="0"/>
                <w:sz w:val="24"/>
                <w:szCs w:val="24"/>
                <w:highlight w:val="none"/>
              </w:rPr>
            </w:pPr>
          </w:p>
          <w:p w14:paraId="141850E4">
            <w:pPr>
              <w:widowControl/>
              <w:jc w:val="center"/>
              <w:rPr>
                <w:rFonts w:hint="eastAsia" w:ascii="宋体" w:hAnsi="宋体" w:eastAsia="宋体" w:cs="宋体"/>
                <w:kern w:val="0"/>
                <w:sz w:val="24"/>
                <w:szCs w:val="24"/>
                <w:highlight w:val="none"/>
              </w:rPr>
            </w:pPr>
          </w:p>
          <w:p w14:paraId="03E3EAA3">
            <w:pPr>
              <w:widowControl/>
              <w:jc w:val="center"/>
              <w:rPr>
                <w:rFonts w:hint="eastAsia" w:ascii="宋体" w:hAnsi="宋体" w:eastAsia="宋体" w:cs="宋体"/>
                <w:kern w:val="0"/>
                <w:sz w:val="24"/>
                <w:szCs w:val="24"/>
                <w:highlight w:val="none"/>
              </w:rPr>
            </w:pPr>
          </w:p>
          <w:p w14:paraId="59AD29D8">
            <w:pPr>
              <w:jc w:val="center"/>
              <w:rPr>
                <w:rFonts w:hint="eastAsia" w:ascii="宋体" w:hAnsi="宋体" w:eastAsia="宋体" w:cs="宋体"/>
                <w:bCs/>
                <w:kern w:val="0"/>
                <w:sz w:val="24"/>
                <w:szCs w:val="24"/>
                <w:highlight w:val="none"/>
              </w:rPr>
            </w:pPr>
          </w:p>
        </w:tc>
        <w:tc>
          <w:tcPr>
            <w:tcW w:w="840" w:type="pct"/>
            <w:vMerge w:val="restart"/>
            <w:shd w:val="clear" w:color="auto" w:fill="auto"/>
            <w:vAlign w:val="center"/>
          </w:tcPr>
          <w:p w14:paraId="632B359F">
            <w:pPr>
              <w:ind w:firstLine="120" w:firstLineChars="50"/>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服务方案</w:t>
            </w:r>
          </w:p>
        </w:tc>
        <w:tc>
          <w:tcPr>
            <w:tcW w:w="2762" w:type="pct"/>
            <w:shd w:val="clear" w:color="auto" w:fill="auto"/>
            <w:vAlign w:val="center"/>
          </w:tcPr>
          <w:p w14:paraId="0BB4F75F">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1.总体服务方案</w:t>
            </w:r>
          </w:p>
          <w:p w14:paraId="3882AC7D">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针对本项目服务需求，投标人提供总体服务方案，方案需包含具体的服务流程，共5分。</w:t>
            </w:r>
          </w:p>
          <w:p w14:paraId="081FFB0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（1）方案内容齐全、安排合理、可操作性强的，得5分；</w:t>
            </w:r>
          </w:p>
          <w:p w14:paraId="4DECDC55">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 xml:space="preserve">（2）方案内容完整、可操作性一般的，得3分； </w:t>
            </w:r>
          </w:p>
          <w:p w14:paraId="12CD7E9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（3）方案内容有缺、可操作性一般的，得1分；</w:t>
            </w:r>
          </w:p>
          <w:p w14:paraId="707E85A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（4）方案内容有缺、可操作性较差或未提供方案不得分。</w:t>
            </w:r>
          </w:p>
        </w:tc>
        <w:tc>
          <w:tcPr>
            <w:tcW w:w="745" w:type="pct"/>
            <w:shd w:val="clear" w:color="auto" w:fill="auto"/>
            <w:noWrap/>
            <w:vAlign w:val="center"/>
          </w:tcPr>
          <w:p w14:paraId="40D9475B">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w:t>
            </w:r>
          </w:p>
        </w:tc>
      </w:tr>
      <w:tr w14:paraId="57B7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14:paraId="302B895D">
            <w:pPr>
              <w:jc w:val="center"/>
              <w:rPr>
                <w:rFonts w:hint="eastAsia" w:ascii="宋体" w:hAnsi="宋体" w:eastAsia="宋体" w:cs="宋体"/>
                <w:kern w:val="0"/>
                <w:sz w:val="24"/>
                <w:szCs w:val="24"/>
                <w:highlight w:val="none"/>
              </w:rPr>
            </w:pPr>
          </w:p>
        </w:tc>
        <w:tc>
          <w:tcPr>
            <w:tcW w:w="840" w:type="pct"/>
            <w:vMerge w:val="continue"/>
            <w:shd w:val="clear" w:color="auto" w:fill="auto"/>
            <w:vAlign w:val="center"/>
          </w:tcPr>
          <w:p w14:paraId="11418D47">
            <w:pPr>
              <w:widowControl/>
              <w:jc w:val="center"/>
              <w:rPr>
                <w:rFonts w:hint="eastAsia" w:ascii="宋体" w:hAnsi="宋体" w:eastAsia="宋体" w:cs="宋体"/>
                <w:kern w:val="0"/>
                <w:sz w:val="24"/>
                <w:szCs w:val="24"/>
                <w:highlight w:val="none"/>
              </w:rPr>
            </w:pPr>
          </w:p>
        </w:tc>
        <w:tc>
          <w:tcPr>
            <w:tcW w:w="2762" w:type="pct"/>
            <w:shd w:val="clear" w:color="auto" w:fill="auto"/>
            <w:vAlign w:val="center"/>
          </w:tcPr>
          <w:p w14:paraId="1AD5A421">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2.应急响应方案</w:t>
            </w:r>
          </w:p>
          <w:p w14:paraId="11063678">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根据投标人提供的应急响应方案进行打分，方案需包含“需求接收-任务分配-人员调度-质量复核”的全流程机制说明，共5分。</w:t>
            </w:r>
          </w:p>
          <w:p w14:paraId="36646114">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（1）方案内容齐全、安排合理、可操作性强的，得5分；</w:t>
            </w:r>
          </w:p>
          <w:p w14:paraId="43ECFAAE">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 xml:space="preserve">（2）方案内容完整、可操作性一般的，得3分； </w:t>
            </w:r>
          </w:p>
          <w:p w14:paraId="7559CAD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（3）方案内容有缺、可操作性一般的，得1分；</w:t>
            </w:r>
          </w:p>
          <w:p w14:paraId="10C67318">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（4）方案内容有缺、可操作性较差或未提供方案不得分。</w:t>
            </w:r>
          </w:p>
        </w:tc>
        <w:tc>
          <w:tcPr>
            <w:tcW w:w="745" w:type="pct"/>
            <w:shd w:val="clear" w:color="auto" w:fill="auto"/>
            <w:noWrap/>
            <w:vAlign w:val="center"/>
          </w:tcPr>
          <w:p w14:paraId="283A17FE">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w:t>
            </w:r>
          </w:p>
        </w:tc>
      </w:tr>
      <w:tr w14:paraId="7556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14:paraId="29820223">
            <w:pPr>
              <w:jc w:val="center"/>
              <w:rPr>
                <w:rFonts w:hint="eastAsia" w:ascii="宋体" w:hAnsi="宋体" w:eastAsia="宋体" w:cs="宋体"/>
                <w:kern w:val="0"/>
                <w:sz w:val="24"/>
                <w:szCs w:val="24"/>
                <w:highlight w:val="none"/>
              </w:rPr>
            </w:pPr>
          </w:p>
        </w:tc>
        <w:tc>
          <w:tcPr>
            <w:tcW w:w="840" w:type="pct"/>
            <w:vMerge w:val="continue"/>
            <w:shd w:val="clear" w:color="auto" w:fill="auto"/>
            <w:vAlign w:val="center"/>
          </w:tcPr>
          <w:p w14:paraId="7B98B88D">
            <w:pPr>
              <w:widowControl/>
              <w:jc w:val="center"/>
              <w:rPr>
                <w:rFonts w:hint="eastAsia" w:ascii="宋体" w:hAnsi="宋体" w:eastAsia="宋体" w:cs="宋体"/>
                <w:kern w:val="0"/>
                <w:sz w:val="24"/>
                <w:szCs w:val="24"/>
                <w:highlight w:val="none"/>
              </w:rPr>
            </w:pPr>
          </w:p>
        </w:tc>
        <w:tc>
          <w:tcPr>
            <w:tcW w:w="2762" w:type="pct"/>
            <w:shd w:val="clear" w:color="auto" w:fill="auto"/>
            <w:vAlign w:val="center"/>
          </w:tcPr>
          <w:p w14:paraId="2CECF023">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3.项目保障方案</w:t>
            </w:r>
          </w:p>
          <w:p w14:paraId="18C52C62">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根据投标人提供的项目保障方案进行打分，方案需包含“风险识别（如交付延迟）-应对措施（如双人审校、备用译员）-进度监控-质量质检（节点验收）-译后跟踪，共5分。</w:t>
            </w:r>
          </w:p>
          <w:p w14:paraId="5F4471E2">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（1）方案内容齐全、安排合理、可操作性强的，得5分；</w:t>
            </w:r>
          </w:p>
          <w:p w14:paraId="5FD1D37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 xml:space="preserve">（2）方案内容完整、可操作性一般的，得3分； </w:t>
            </w:r>
          </w:p>
          <w:p w14:paraId="0FAACA23">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（3）方案内容有缺、可操作性一般的，得1分；</w:t>
            </w:r>
          </w:p>
          <w:p w14:paraId="261959E3">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（4）方案内容有缺、可操作性较差或未提供方案不得分。</w:t>
            </w:r>
          </w:p>
        </w:tc>
        <w:tc>
          <w:tcPr>
            <w:tcW w:w="745" w:type="pct"/>
            <w:shd w:val="clear" w:color="auto" w:fill="auto"/>
            <w:noWrap/>
            <w:vAlign w:val="center"/>
          </w:tcPr>
          <w:p w14:paraId="359A23A5">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w:t>
            </w:r>
          </w:p>
        </w:tc>
      </w:tr>
      <w:tr w14:paraId="329F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Align w:val="center"/>
          </w:tcPr>
          <w:p w14:paraId="097CF7F9">
            <w:pPr>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w:t>
            </w:r>
          </w:p>
        </w:tc>
        <w:tc>
          <w:tcPr>
            <w:tcW w:w="840" w:type="pct"/>
            <w:shd w:val="clear" w:color="auto" w:fill="auto"/>
            <w:vAlign w:val="center"/>
          </w:tcPr>
          <w:p w14:paraId="1A41B1BF">
            <w:pPr>
              <w:widowControl/>
              <w:jc w:val="center"/>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响应承诺</w:t>
            </w:r>
          </w:p>
        </w:tc>
        <w:tc>
          <w:tcPr>
            <w:tcW w:w="2762" w:type="pct"/>
            <w:shd w:val="clear" w:color="auto" w:fill="auto"/>
            <w:vAlign w:val="center"/>
          </w:tcPr>
          <w:p w14:paraId="654CBF41">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投标人承诺3千字以上1万字以内的稿件</w:t>
            </w:r>
            <w:r>
              <w:rPr>
                <w:rFonts w:hint="eastAsia" w:ascii="宋体" w:hAnsi="宋体" w:eastAsia="宋体" w:cs="宋体"/>
                <w:sz w:val="24"/>
                <w:szCs w:val="24"/>
                <w:highlight w:val="none"/>
              </w:rPr>
              <w:t>收件后4个工作日内交件的</w:t>
            </w:r>
            <w:r>
              <w:rPr>
                <w:rFonts w:hint="eastAsia" w:ascii="宋体" w:hAnsi="宋体" w:eastAsia="宋体" w:cs="宋体"/>
                <w:bCs/>
                <w:kern w:val="0"/>
                <w:sz w:val="24"/>
                <w:szCs w:val="24"/>
                <w:highlight w:val="none"/>
              </w:rPr>
              <w:t>，</w:t>
            </w:r>
            <w:r>
              <w:rPr>
                <w:rFonts w:hint="eastAsia" w:ascii="宋体" w:hAnsi="宋体" w:eastAsia="宋体" w:cs="宋体"/>
                <w:sz w:val="24"/>
                <w:szCs w:val="24"/>
                <w:highlight w:val="none"/>
              </w:rPr>
              <w:t>字数N大于10,000字</w:t>
            </w:r>
            <w:r>
              <w:rPr>
                <w:rFonts w:hint="eastAsia" w:ascii="宋体" w:hAnsi="宋体" w:eastAsia="宋体" w:cs="宋体"/>
                <w:bCs/>
                <w:kern w:val="0"/>
                <w:sz w:val="24"/>
                <w:szCs w:val="24"/>
                <w:highlight w:val="none"/>
              </w:rPr>
              <w:t>稿件</w:t>
            </w:r>
            <w:r>
              <w:rPr>
                <w:rFonts w:hint="eastAsia" w:ascii="宋体" w:hAnsi="宋体" w:eastAsia="宋体" w:cs="宋体"/>
                <w:sz w:val="24"/>
                <w:szCs w:val="24"/>
                <w:highlight w:val="none"/>
              </w:rPr>
              <w:t>在(N/10000)*6个工作日内交付的，</w:t>
            </w:r>
            <w:r>
              <w:rPr>
                <w:rFonts w:hint="eastAsia" w:ascii="宋体" w:hAnsi="宋体" w:eastAsia="宋体" w:cs="宋体"/>
                <w:bCs/>
                <w:kern w:val="0"/>
                <w:sz w:val="24"/>
                <w:szCs w:val="24"/>
                <w:highlight w:val="none"/>
              </w:rPr>
              <w:t>得1分；3千字以上1万字以内的稿件</w:t>
            </w:r>
            <w:r>
              <w:rPr>
                <w:rFonts w:hint="eastAsia" w:ascii="宋体" w:hAnsi="宋体" w:eastAsia="宋体" w:cs="宋体"/>
                <w:sz w:val="24"/>
                <w:szCs w:val="24"/>
                <w:highlight w:val="none"/>
              </w:rPr>
              <w:t>收件后3个工作日内交件的</w:t>
            </w:r>
            <w:r>
              <w:rPr>
                <w:rFonts w:hint="eastAsia" w:ascii="宋体" w:hAnsi="宋体" w:eastAsia="宋体" w:cs="宋体"/>
                <w:bCs/>
                <w:kern w:val="0"/>
                <w:sz w:val="24"/>
                <w:szCs w:val="24"/>
                <w:highlight w:val="none"/>
              </w:rPr>
              <w:t>，</w:t>
            </w:r>
            <w:r>
              <w:rPr>
                <w:rFonts w:hint="eastAsia" w:ascii="宋体" w:hAnsi="宋体" w:eastAsia="宋体" w:cs="宋体"/>
                <w:sz w:val="24"/>
                <w:szCs w:val="24"/>
                <w:highlight w:val="none"/>
              </w:rPr>
              <w:t>字数N大于10,000字</w:t>
            </w:r>
            <w:r>
              <w:rPr>
                <w:rFonts w:hint="eastAsia" w:ascii="宋体" w:hAnsi="宋体" w:eastAsia="宋体" w:cs="宋体"/>
                <w:bCs/>
                <w:kern w:val="0"/>
                <w:sz w:val="24"/>
                <w:szCs w:val="24"/>
                <w:highlight w:val="none"/>
              </w:rPr>
              <w:t>稿件</w:t>
            </w:r>
            <w:r>
              <w:rPr>
                <w:rFonts w:hint="eastAsia" w:ascii="宋体" w:hAnsi="宋体" w:eastAsia="宋体" w:cs="宋体"/>
                <w:sz w:val="24"/>
                <w:szCs w:val="24"/>
                <w:highlight w:val="none"/>
              </w:rPr>
              <w:t>在(N/10000)*5个工作日内交付的，</w:t>
            </w:r>
            <w:r>
              <w:rPr>
                <w:rFonts w:hint="eastAsia" w:ascii="宋体" w:hAnsi="宋体" w:eastAsia="宋体" w:cs="宋体"/>
                <w:bCs/>
                <w:kern w:val="0"/>
                <w:sz w:val="24"/>
                <w:szCs w:val="24"/>
                <w:highlight w:val="none"/>
              </w:rPr>
              <w:t>得3分。</w:t>
            </w:r>
          </w:p>
          <w:p w14:paraId="4C521CC5">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注：须提供承诺函并加盖公章，否则不得分。</w:t>
            </w:r>
          </w:p>
        </w:tc>
        <w:tc>
          <w:tcPr>
            <w:tcW w:w="745" w:type="pct"/>
            <w:shd w:val="clear" w:color="auto" w:fill="auto"/>
            <w:noWrap/>
            <w:vAlign w:val="center"/>
          </w:tcPr>
          <w:p w14:paraId="05268A96">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w:t>
            </w:r>
          </w:p>
        </w:tc>
      </w:tr>
      <w:tr w14:paraId="225B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Align w:val="center"/>
          </w:tcPr>
          <w:p w14:paraId="23953CBC">
            <w:pPr>
              <w:widowControl/>
              <w:rPr>
                <w:rFonts w:hint="eastAsia" w:ascii="宋体" w:hAnsi="宋体" w:eastAsia="宋体" w:cs="宋体"/>
                <w:kern w:val="0"/>
                <w:sz w:val="24"/>
                <w:szCs w:val="24"/>
                <w:highlight w:val="none"/>
              </w:rPr>
            </w:pPr>
          </w:p>
          <w:p w14:paraId="2F47C267">
            <w:pPr>
              <w:jc w:val="center"/>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4.</w:t>
            </w:r>
          </w:p>
        </w:tc>
        <w:tc>
          <w:tcPr>
            <w:tcW w:w="840" w:type="pct"/>
            <w:shd w:val="clear" w:color="auto" w:fill="auto"/>
            <w:vAlign w:val="center"/>
          </w:tcPr>
          <w:p w14:paraId="6EF9B58B">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项目经理</w:t>
            </w:r>
          </w:p>
        </w:tc>
        <w:tc>
          <w:tcPr>
            <w:tcW w:w="2762" w:type="pct"/>
            <w:shd w:val="clear" w:color="auto" w:fill="auto"/>
            <w:vAlign w:val="center"/>
          </w:tcPr>
          <w:p w14:paraId="7CB6845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配备的项目经理，具备8年及以上金融行业翻译项目管理经验，得3分；具备5年及以上、8年以下金融行业翻译项目管理经验，得2分；具备3年及以上、5年以下金融行业翻译项目管理经验，得1分；具备3年以下金融行业翻译项目管理经验，不得分。</w:t>
            </w:r>
          </w:p>
          <w:p w14:paraId="00FEE3C8">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注：须提供简历，以及投标人为其缴纳的社保证明文件，否则不得分。</w:t>
            </w:r>
          </w:p>
        </w:tc>
        <w:tc>
          <w:tcPr>
            <w:tcW w:w="745" w:type="pct"/>
            <w:shd w:val="clear" w:color="auto" w:fill="auto"/>
            <w:noWrap/>
            <w:vAlign w:val="center"/>
          </w:tcPr>
          <w:p w14:paraId="4D7526BA">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w:t>
            </w:r>
          </w:p>
        </w:tc>
      </w:tr>
      <w:tr w14:paraId="655E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restart"/>
            <w:vAlign w:val="center"/>
          </w:tcPr>
          <w:p w14:paraId="2F4F22C9">
            <w:pPr>
              <w:jc w:val="center"/>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5.</w:t>
            </w:r>
          </w:p>
        </w:tc>
        <w:tc>
          <w:tcPr>
            <w:tcW w:w="840" w:type="pct"/>
            <w:vMerge w:val="restart"/>
            <w:shd w:val="clear" w:color="auto" w:fill="auto"/>
            <w:vAlign w:val="center"/>
          </w:tcPr>
          <w:p w14:paraId="09F65137">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其他团队人员</w:t>
            </w:r>
          </w:p>
        </w:tc>
        <w:tc>
          <w:tcPr>
            <w:tcW w:w="2762" w:type="pct"/>
            <w:shd w:val="clear" w:color="auto" w:fill="auto"/>
            <w:vAlign w:val="center"/>
          </w:tcPr>
          <w:p w14:paraId="4996567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针对专职翻译团队（项目经理除外）：</w:t>
            </w:r>
          </w:p>
          <w:p w14:paraId="277EEE04">
            <w:pPr>
              <w:numPr>
                <w:ilvl w:val="0"/>
                <w:numId w:val="14"/>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团队配备4名中英互译译员的，得1分；5名中英互译译员的，得2分；6名及以上中英互译译员的，得3分；</w:t>
            </w:r>
          </w:p>
          <w:p w14:paraId="4B7DD570">
            <w:pPr>
              <w:numPr>
                <w:ilvl w:val="0"/>
                <w:numId w:val="14"/>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团队配备中译俄、中译阿拉伯语、中译葡萄牙语、中译土耳其语、中译印尼语的译员，每个语种各1名（共5人）的，得1分；每个语种至少2名（至少10人）的，得2分。</w:t>
            </w:r>
          </w:p>
          <w:p w14:paraId="57D3A4B5">
            <w:pPr>
              <w:numPr>
                <w:ilvl w:val="0"/>
                <w:numId w:val="14"/>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每有1名译员持有CATTI笔译二级及以上证书的，每人得1分，最多3分。</w:t>
            </w:r>
          </w:p>
          <w:p w14:paraId="3571F631">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本项满分8分。</w:t>
            </w:r>
          </w:p>
          <w:p w14:paraId="6FFE7ABB">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注：须提供团队名单、证书复印</w:t>
            </w:r>
            <w:r>
              <w:rPr>
                <w:rFonts w:hint="eastAsia" w:ascii="宋体" w:hAnsi="宋体" w:eastAsia="宋体" w:cs="宋体"/>
                <w:b w:val="0"/>
                <w:bCs/>
                <w:kern w:val="0"/>
                <w:sz w:val="24"/>
                <w:szCs w:val="24"/>
                <w:highlight w:val="none"/>
              </w:rPr>
              <w:t>件及译员简历</w:t>
            </w:r>
            <w:r>
              <w:rPr>
                <w:rFonts w:hint="eastAsia" w:ascii="宋体" w:hAnsi="宋体" w:eastAsia="宋体" w:cs="宋体"/>
                <w:bCs/>
                <w:kern w:val="0"/>
                <w:sz w:val="24"/>
                <w:szCs w:val="24"/>
                <w:highlight w:val="none"/>
              </w:rPr>
              <w:t xml:space="preserve">，否则不得分。 </w:t>
            </w:r>
          </w:p>
        </w:tc>
        <w:tc>
          <w:tcPr>
            <w:tcW w:w="745" w:type="pct"/>
            <w:shd w:val="clear" w:color="auto" w:fill="auto"/>
            <w:noWrap/>
            <w:vAlign w:val="center"/>
          </w:tcPr>
          <w:p w14:paraId="10B75C56">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8</w:t>
            </w:r>
          </w:p>
        </w:tc>
      </w:tr>
      <w:tr w14:paraId="42041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14:paraId="6261A11A">
            <w:pPr>
              <w:widowControl/>
              <w:jc w:val="center"/>
              <w:rPr>
                <w:rFonts w:hint="eastAsia" w:ascii="宋体" w:hAnsi="宋体" w:eastAsia="宋体" w:cs="宋体"/>
                <w:kern w:val="0"/>
                <w:sz w:val="24"/>
                <w:szCs w:val="24"/>
                <w:highlight w:val="none"/>
              </w:rPr>
            </w:pPr>
          </w:p>
        </w:tc>
        <w:tc>
          <w:tcPr>
            <w:tcW w:w="840" w:type="pct"/>
            <w:vMerge w:val="continue"/>
            <w:shd w:val="clear" w:color="auto" w:fill="auto"/>
            <w:vAlign w:val="center"/>
          </w:tcPr>
          <w:p w14:paraId="566E4187">
            <w:pPr>
              <w:autoSpaceDE w:val="0"/>
              <w:autoSpaceDN w:val="0"/>
              <w:adjustRightInd w:val="0"/>
              <w:snapToGrid w:val="0"/>
              <w:spacing w:line="400" w:lineRule="exact"/>
              <w:rPr>
                <w:rFonts w:hint="eastAsia" w:ascii="宋体" w:hAnsi="宋体" w:eastAsia="宋体" w:cs="宋体"/>
                <w:bCs/>
                <w:kern w:val="0"/>
                <w:sz w:val="24"/>
                <w:szCs w:val="24"/>
                <w:highlight w:val="none"/>
              </w:rPr>
            </w:pPr>
          </w:p>
        </w:tc>
        <w:tc>
          <w:tcPr>
            <w:tcW w:w="2762" w:type="pct"/>
            <w:shd w:val="clear" w:color="auto" w:fill="auto"/>
            <w:vAlign w:val="center"/>
          </w:tcPr>
          <w:p w14:paraId="5ED4C523">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针对专职翻译团队（项目经理除外）：</w:t>
            </w:r>
          </w:p>
          <w:p w14:paraId="239BBB8A">
            <w:pPr>
              <w:numPr>
                <w:ilvl w:val="0"/>
                <w:numId w:val="15"/>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投标人提供具备金融、经济类中英互译翻译实践经验的专职译员的，每人得1分，最高4分。</w:t>
            </w:r>
          </w:p>
          <w:p w14:paraId="28765F39">
            <w:pPr>
              <w:numPr>
                <w:ilvl w:val="0"/>
                <w:numId w:val="15"/>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投标人提供具备金融、经济类</w:t>
            </w:r>
            <w:r>
              <w:rPr>
                <w:rFonts w:hint="eastAsia" w:ascii="宋体" w:hAnsi="宋体" w:eastAsia="宋体" w:cs="宋体"/>
                <w:bCs/>
                <w:iCs/>
                <w:sz w:val="24"/>
                <w:szCs w:val="24"/>
                <w:highlight w:val="none"/>
              </w:rPr>
              <w:t>中译俄、中译阿拉伯语、中译葡萄牙语、中译土耳其语、中译印尼语</w:t>
            </w:r>
            <w:r>
              <w:rPr>
                <w:rFonts w:hint="eastAsia" w:ascii="宋体" w:hAnsi="宋体" w:eastAsia="宋体" w:cs="宋体"/>
                <w:bCs/>
                <w:kern w:val="0"/>
                <w:sz w:val="24"/>
                <w:szCs w:val="24"/>
                <w:highlight w:val="none"/>
              </w:rPr>
              <w:t>翻译实践经验的专职译员的，每个语种至少各1名（至少5人）的，得1分。</w:t>
            </w:r>
          </w:p>
          <w:p w14:paraId="602FC92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注：须提供证明材料，否则不得分。</w:t>
            </w:r>
          </w:p>
        </w:tc>
        <w:tc>
          <w:tcPr>
            <w:tcW w:w="745" w:type="pct"/>
            <w:shd w:val="clear" w:color="auto" w:fill="auto"/>
            <w:noWrap/>
            <w:vAlign w:val="center"/>
          </w:tcPr>
          <w:p w14:paraId="2443AC0A">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532BC630">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515EEF03">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w:t>
            </w:r>
          </w:p>
        </w:tc>
      </w:tr>
      <w:tr w14:paraId="172C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vAlign w:val="center"/>
          </w:tcPr>
          <w:p w14:paraId="32BA059A">
            <w:pPr>
              <w:widowControl/>
              <w:jc w:val="center"/>
              <w:rPr>
                <w:rFonts w:hint="eastAsia" w:ascii="宋体" w:hAnsi="宋体" w:eastAsia="宋体" w:cs="宋体"/>
                <w:kern w:val="0"/>
                <w:sz w:val="24"/>
                <w:szCs w:val="24"/>
                <w:highlight w:val="none"/>
              </w:rPr>
            </w:pPr>
          </w:p>
        </w:tc>
        <w:tc>
          <w:tcPr>
            <w:tcW w:w="840" w:type="pct"/>
            <w:vMerge w:val="continue"/>
            <w:shd w:val="clear" w:color="auto" w:fill="auto"/>
            <w:vAlign w:val="center"/>
          </w:tcPr>
          <w:p w14:paraId="2575A636">
            <w:pPr>
              <w:autoSpaceDE w:val="0"/>
              <w:autoSpaceDN w:val="0"/>
              <w:adjustRightInd w:val="0"/>
              <w:snapToGrid w:val="0"/>
              <w:spacing w:line="400" w:lineRule="exact"/>
              <w:rPr>
                <w:rFonts w:hint="eastAsia" w:ascii="宋体" w:hAnsi="宋体" w:eastAsia="宋体" w:cs="宋体"/>
                <w:bCs/>
                <w:kern w:val="0"/>
                <w:sz w:val="24"/>
                <w:szCs w:val="24"/>
                <w:highlight w:val="none"/>
              </w:rPr>
            </w:pPr>
          </w:p>
        </w:tc>
        <w:tc>
          <w:tcPr>
            <w:tcW w:w="2762" w:type="pct"/>
            <w:shd w:val="clear" w:color="auto" w:fill="auto"/>
            <w:vAlign w:val="center"/>
          </w:tcPr>
          <w:p w14:paraId="2D76211D">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针对专职翻译团队（项目经理除外）：</w:t>
            </w:r>
          </w:p>
          <w:p w14:paraId="27E1118E">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1、投标人提供具备8年及以上中英互译翻译实践经验的专职资深译员的，每一人得1分，最高4分。</w:t>
            </w:r>
          </w:p>
          <w:p w14:paraId="006B3B06">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2、投标人提供具备8年及以上</w:t>
            </w:r>
            <w:r>
              <w:rPr>
                <w:rFonts w:hint="eastAsia" w:ascii="宋体" w:hAnsi="宋体" w:eastAsia="宋体" w:cs="宋体"/>
                <w:bCs/>
                <w:iCs/>
                <w:sz w:val="24"/>
                <w:szCs w:val="24"/>
                <w:highlight w:val="none"/>
              </w:rPr>
              <w:t>中译俄、中译阿拉伯语、中译葡萄牙语、中译土耳其语、中译印尼语</w:t>
            </w:r>
            <w:r>
              <w:rPr>
                <w:rFonts w:hint="eastAsia" w:ascii="宋体" w:hAnsi="宋体" w:eastAsia="宋体" w:cs="宋体"/>
                <w:bCs/>
                <w:kern w:val="0"/>
                <w:sz w:val="24"/>
                <w:szCs w:val="24"/>
                <w:highlight w:val="none"/>
              </w:rPr>
              <w:t>翻译实践经验的专职资深译员的，每个语种至少各1名（至少5人）的，得1分。</w:t>
            </w:r>
          </w:p>
          <w:p w14:paraId="2CC3FEC4">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注：须提供简历，否则不得分。</w:t>
            </w:r>
          </w:p>
        </w:tc>
        <w:tc>
          <w:tcPr>
            <w:tcW w:w="745" w:type="pct"/>
            <w:shd w:val="clear" w:color="auto" w:fill="auto"/>
            <w:noWrap/>
            <w:vAlign w:val="center"/>
          </w:tcPr>
          <w:p w14:paraId="761177C6">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5</w:t>
            </w:r>
          </w:p>
        </w:tc>
      </w:tr>
      <w:tr w14:paraId="23DC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restart"/>
            <w:vAlign w:val="center"/>
          </w:tcPr>
          <w:p w14:paraId="2D9C8861">
            <w:pPr>
              <w:jc w:val="center"/>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6.</w:t>
            </w:r>
          </w:p>
        </w:tc>
        <w:tc>
          <w:tcPr>
            <w:tcW w:w="840" w:type="pct"/>
            <w:vMerge w:val="restart"/>
            <w:shd w:val="clear" w:color="auto" w:fill="auto"/>
            <w:vAlign w:val="center"/>
          </w:tcPr>
          <w:p w14:paraId="6928B92B">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译文评分</w:t>
            </w:r>
          </w:p>
        </w:tc>
        <w:tc>
          <w:tcPr>
            <w:tcW w:w="2762" w:type="pct"/>
            <w:shd w:val="clear" w:color="auto" w:fill="auto"/>
            <w:vAlign w:val="center"/>
          </w:tcPr>
          <w:p w14:paraId="5A548ED8">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投标人需将一段300字左右的中文段落（见附件1）翻译成英文。根据投标人提供的试译稿件进行打分。</w:t>
            </w:r>
          </w:p>
          <w:p w14:paraId="78F8E7B5">
            <w:pPr>
              <w:numPr>
                <w:ilvl w:val="0"/>
                <w:numId w:val="16"/>
              </w:num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根据翻译件的格式规范与内容完整性打分，共4分。</w:t>
            </w:r>
          </w:p>
          <w:p w14:paraId="7FDDF287">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（1）格式100%还原，标点完全精准；零漏译、零错译的，得4分；</w:t>
            </w:r>
          </w:p>
          <w:p w14:paraId="00AE14E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（2）格式存在轻微偏差，标点符号偶有瑕疵但不影响理解；零漏译、但存在轻微非关键性错译的，得3分；</w:t>
            </w:r>
          </w:p>
          <w:p w14:paraId="31650FD4">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（3）格式存在一定偏差，标点符号存在少量错误但不影响核心理解；零漏译，存在部分非关键性错译的，得2分；</w:t>
            </w:r>
          </w:p>
          <w:p w14:paraId="0D1D020D">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（4）格式偏差较多，标点符号错误较明显，影响部分内容理解；存在关键内容漏译或错译，严重影响阅读的，不得分。</w:t>
            </w:r>
          </w:p>
          <w:p w14:paraId="4EEB360B">
            <w:pPr>
              <w:autoSpaceDE w:val="0"/>
              <w:autoSpaceDN w:val="0"/>
              <w:adjustRightInd w:val="0"/>
              <w:snapToGrid w:val="0"/>
              <w:spacing w:line="400" w:lineRule="exact"/>
              <w:rPr>
                <w:rFonts w:hint="eastAsia" w:ascii="宋体" w:hAnsi="宋体" w:eastAsia="宋体" w:cs="宋体"/>
                <w:bCs/>
                <w:kern w:val="0"/>
                <w:sz w:val="24"/>
                <w:szCs w:val="24"/>
                <w:highlight w:val="none"/>
              </w:rPr>
            </w:pPr>
          </w:p>
          <w:p w14:paraId="30851050">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2.根据翻译件译文的专业性打分，共6分。</w:t>
            </w:r>
          </w:p>
          <w:p w14:paraId="7BCF93CB">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（1）完全突破源语言语法束缚，行文自然流畅，逻辑清晰，</w:t>
            </w:r>
            <w:r>
              <w:rPr>
                <w:rFonts w:hint="eastAsia" w:ascii="宋体" w:hAnsi="宋体" w:eastAsia="宋体" w:cs="宋体"/>
                <w:bCs/>
                <w:kern w:val="0"/>
                <w:sz w:val="24"/>
                <w:szCs w:val="24"/>
                <w:highlight w:val="none"/>
              </w:rPr>
              <w:t>句式重组灵活得当，避免生硬直译或中式英语，无任何语法错误，</w:t>
            </w:r>
            <w:r>
              <w:rPr>
                <w:rFonts w:hint="eastAsia" w:ascii="宋体" w:hAnsi="宋体" w:eastAsia="宋体" w:cs="宋体"/>
                <w:sz w:val="24"/>
                <w:szCs w:val="24"/>
                <w:highlight w:val="none"/>
              </w:rPr>
              <w:t>得6分；</w:t>
            </w:r>
          </w:p>
          <w:p w14:paraId="6565BE91">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（2）语言基本流畅通顺，但可能偶有结构受源语影响而略显生硬，语法基本正确，存在少量不复杂的语法错误，得4分；</w:t>
            </w:r>
          </w:p>
          <w:p w14:paraId="0B4CA934">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（3）句式稍显混乱、结构生硬不自然，存在不少冗长、晦涩、逻辑不清的句子，语法错误较多，且存在部分数量复杂的语法错误，得2分；</w:t>
            </w:r>
          </w:p>
          <w:p w14:paraId="1703F248">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（4）句式极度混乱、结构完全不自然，存在大量冗长、极度晦涩、完全逻辑不通的句子，语法错误极其频繁且严重，且存在大量复杂语法错误，不得分。</w:t>
            </w:r>
          </w:p>
          <w:p w14:paraId="789CC7EB">
            <w:pPr>
              <w:autoSpaceDE w:val="0"/>
              <w:autoSpaceDN w:val="0"/>
              <w:adjustRightInd w:val="0"/>
              <w:snapToGrid w:val="0"/>
              <w:spacing w:line="400" w:lineRule="exact"/>
              <w:rPr>
                <w:rFonts w:hint="eastAsia" w:ascii="宋体" w:hAnsi="宋体" w:eastAsia="宋体" w:cs="宋体"/>
                <w:bCs/>
                <w:kern w:val="0"/>
                <w:sz w:val="24"/>
                <w:szCs w:val="24"/>
                <w:highlight w:val="none"/>
              </w:rPr>
            </w:pPr>
          </w:p>
          <w:p w14:paraId="31AE74C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3.根据翻译件的语言风格与可读性打分，共3分。</w:t>
            </w:r>
          </w:p>
          <w:p w14:paraId="0CC32AF3">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（1）高度符合原文风格，表达精炼，完全避免冗长和晦涩，可读性极佳，得3分；</w:t>
            </w:r>
          </w:p>
          <w:p w14:paraId="36535D48">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（2）风格基本适配，较少句子表达不够理想，或偶有轻微冗长或晦涩，得2分；</w:t>
            </w:r>
          </w:p>
          <w:p w14:paraId="372E650E">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（3）风格与原文存在一定偏差，部分表达较冗长或晦涩，可读性一般，得1分；</w:t>
            </w:r>
          </w:p>
          <w:p w14:paraId="09E79205">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（4）风格严重偏离原文，或存在大量冗长或晦涩表述，可读性差，不得分。</w:t>
            </w:r>
          </w:p>
          <w:p w14:paraId="13D98BAE">
            <w:pPr>
              <w:autoSpaceDE w:val="0"/>
              <w:autoSpaceDN w:val="0"/>
              <w:adjustRightInd w:val="0"/>
              <w:snapToGrid w:val="0"/>
              <w:spacing w:line="400" w:lineRule="exact"/>
              <w:rPr>
                <w:rFonts w:hint="eastAsia" w:ascii="宋体" w:hAnsi="宋体" w:eastAsia="宋体" w:cs="宋体"/>
                <w:bCs/>
                <w:kern w:val="0"/>
                <w:sz w:val="24"/>
                <w:szCs w:val="24"/>
                <w:highlight w:val="none"/>
              </w:rPr>
            </w:pPr>
          </w:p>
        </w:tc>
        <w:tc>
          <w:tcPr>
            <w:tcW w:w="745" w:type="pct"/>
            <w:shd w:val="clear" w:color="auto" w:fill="auto"/>
            <w:noWrap/>
            <w:vAlign w:val="center"/>
          </w:tcPr>
          <w:p w14:paraId="1BD05F17">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13</w:t>
            </w:r>
          </w:p>
        </w:tc>
      </w:tr>
      <w:tr w14:paraId="49EC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53" w:type="pct"/>
            <w:vMerge w:val="continue"/>
          </w:tcPr>
          <w:p w14:paraId="655C6CFF">
            <w:pPr>
              <w:widowControl/>
              <w:jc w:val="center"/>
              <w:rPr>
                <w:rFonts w:hint="eastAsia" w:ascii="宋体" w:hAnsi="宋体" w:eastAsia="宋体" w:cs="宋体"/>
                <w:kern w:val="0"/>
                <w:sz w:val="24"/>
                <w:szCs w:val="24"/>
                <w:highlight w:val="none"/>
              </w:rPr>
            </w:pPr>
          </w:p>
        </w:tc>
        <w:tc>
          <w:tcPr>
            <w:tcW w:w="840" w:type="pct"/>
            <w:vMerge w:val="continue"/>
            <w:shd w:val="clear" w:color="auto" w:fill="auto"/>
            <w:vAlign w:val="center"/>
          </w:tcPr>
          <w:p w14:paraId="25CE4CC7">
            <w:pPr>
              <w:autoSpaceDE w:val="0"/>
              <w:autoSpaceDN w:val="0"/>
              <w:adjustRightInd w:val="0"/>
              <w:snapToGrid w:val="0"/>
              <w:spacing w:line="400" w:lineRule="exact"/>
              <w:rPr>
                <w:rFonts w:hint="eastAsia" w:ascii="宋体" w:hAnsi="宋体" w:eastAsia="宋体" w:cs="宋体"/>
                <w:bCs/>
                <w:kern w:val="0"/>
                <w:sz w:val="24"/>
                <w:szCs w:val="24"/>
                <w:highlight w:val="none"/>
              </w:rPr>
            </w:pPr>
          </w:p>
        </w:tc>
        <w:tc>
          <w:tcPr>
            <w:tcW w:w="2762" w:type="pct"/>
            <w:shd w:val="clear" w:color="auto" w:fill="auto"/>
            <w:vAlign w:val="center"/>
          </w:tcPr>
          <w:p w14:paraId="76643579">
            <w:pPr>
              <w:spacing w:line="340" w:lineRule="exact"/>
              <w:rPr>
                <w:rFonts w:hint="eastAsia" w:ascii="宋体" w:hAnsi="宋体" w:eastAsia="宋体" w:cs="宋体"/>
                <w:b/>
                <w:bCs/>
                <w:sz w:val="24"/>
                <w:szCs w:val="24"/>
                <w:highlight w:val="none"/>
              </w:rPr>
            </w:pPr>
            <w:r>
              <w:rPr>
                <w:rFonts w:hint="eastAsia" w:ascii="宋体" w:hAnsi="宋体" w:eastAsia="宋体" w:cs="宋体"/>
                <w:bCs/>
                <w:kern w:val="0"/>
                <w:sz w:val="24"/>
                <w:szCs w:val="24"/>
                <w:highlight w:val="none"/>
              </w:rPr>
              <w:t>投标人需将一段300字左右的英文段落（见附件1）翻译成中文。根据投标人提供的试译稿件进行打分。</w:t>
            </w:r>
          </w:p>
          <w:p w14:paraId="7D645239">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1.根据翻译件的格式规范与内容完整性打分，共4分。</w:t>
            </w:r>
          </w:p>
          <w:p w14:paraId="0CB34ADF">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（1）格式100%还原，标点完全精准；零漏译、零错译的，得4分；</w:t>
            </w:r>
          </w:p>
          <w:p w14:paraId="554C11B8">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（2）格式存在轻微偏差，标点符号偶有瑕疵但不影响理解；零漏译、但存在轻微非关键性错译的，得3分；</w:t>
            </w:r>
          </w:p>
          <w:p w14:paraId="6250AF56">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（3）格式存在一定偏差，标点符号存在少量错误但不影响核心理解；零漏译，存在部分非关键性错译的，得2分；</w:t>
            </w:r>
          </w:p>
          <w:p w14:paraId="4C635ADF">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（4）格式偏差较多，标点符号错误较明显，影响部分内容理解；存在关键内容漏译或错译，严重影响阅读的，不得分。</w:t>
            </w:r>
          </w:p>
          <w:p w14:paraId="52347E9E">
            <w:pPr>
              <w:autoSpaceDE w:val="0"/>
              <w:autoSpaceDN w:val="0"/>
              <w:adjustRightInd w:val="0"/>
              <w:snapToGrid w:val="0"/>
              <w:spacing w:line="400" w:lineRule="exact"/>
              <w:rPr>
                <w:rFonts w:hint="eastAsia" w:ascii="宋体" w:hAnsi="宋体" w:eastAsia="宋体" w:cs="宋体"/>
                <w:bCs/>
                <w:kern w:val="0"/>
                <w:sz w:val="24"/>
                <w:szCs w:val="24"/>
                <w:highlight w:val="none"/>
              </w:rPr>
            </w:pPr>
          </w:p>
          <w:p w14:paraId="42EA5135">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2.根据翻译件译文的专业性打分，共6分。</w:t>
            </w:r>
          </w:p>
          <w:p w14:paraId="323A47FB">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（1）完全突破源语言语法束缚，行文自然流畅，逻辑清晰，</w:t>
            </w:r>
            <w:r>
              <w:rPr>
                <w:rFonts w:hint="eastAsia" w:ascii="宋体" w:hAnsi="宋体" w:eastAsia="宋体" w:cs="宋体"/>
                <w:bCs/>
                <w:kern w:val="0"/>
                <w:sz w:val="24"/>
                <w:szCs w:val="24"/>
                <w:highlight w:val="none"/>
              </w:rPr>
              <w:t>句式重组灵活得当，避免生硬直译或欧化中文，无成分残缺、搭配不当等问题，</w:t>
            </w:r>
            <w:r>
              <w:rPr>
                <w:rFonts w:hint="eastAsia" w:ascii="宋体" w:hAnsi="宋体" w:eastAsia="宋体" w:cs="宋体"/>
                <w:sz w:val="24"/>
                <w:szCs w:val="24"/>
                <w:highlight w:val="none"/>
              </w:rPr>
              <w:t>得6分；</w:t>
            </w:r>
          </w:p>
          <w:p w14:paraId="00E826FA">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（2）语言基本流畅通顺，但可能偶有结构受源语影响而略显生硬，</w:t>
            </w:r>
            <w:r>
              <w:rPr>
                <w:rFonts w:hint="eastAsia" w:ascii="宋体" w:hAnsi="宋体" w:eastAsia="宋体" w:cs="宋体"/>
                <w:bCs/>
                <w:kern w:val="0"/>
                <w:sz w:val="24"/>
                <w:szCs w:val="24"/>
                <w:highlight w:val="none"/>
              </w:rPr>
              <w:t>偶有成分残缺、搭配不当等问题，</w:t>
            </w:r>
            <w:r>
              <w:rPr>
                <w:rFonts w:hint="eastAsia" w:ascii="宋体" w:hAnsi="宋体" w:eastAsia="宋体" w:cs="宋体"/>
                <w:sz w:val="24"/>
                <w:szCs w:val="24"/>
                <w:highlight w:val="none"/>
              </w:rPr>
              <w:t>得4分；</w:t>
            </w:r>
          </w:p>
          <w:p w14:paraId="652C0089">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（3）句式稍显混乱、结构生硬不自然，存在少部分成分残缺、搭配不当等问题，得2分；</w:t>
            </w:r>
          </w:p>
          <w:p w14:paraId="641D7F0E">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（4）句式极度混乱、结构完全不自然，存在较多成分残缺、搭配不当等问题，不得分。</w:t>
            </w:r>
          </w:p>
          <w:p w14:paraId="5AA027FB">
            <w:pPr>
              <w:autoSpaceDE w:val="0"/>
              <w:autoSpaceDN w:val="0"/>
              <w:adjustRightInd w:val="0"/>
              <w:snapToGrid w:val="0"/>
              <w:spacing w:line="400" w:lineRule="exact"/>
              <w:rPr>
                <w:rFonts w:hint="eastAsia" w:ascii="宋体" w:hAnsi="宋体" w:eastAsia="宋体" w:cs="宋体"/>
                <w:bCs/>
                <w:kern w:val="0"/>
                <w:sz w:val="24"/>
                <w:szCs w:val="24"/>
                <w:highlight w:val="none"/>
              </w:rPr>
            </w:pPr>
          </w:p>
          <w:p w14:paraId="4D2AB79A">
            <w:pPr>
              <w:autoSpaceDE w:val="0"/>
              <w:autoSpaceDN w:val="0"/>
              <w:adjustRightInd w:val="0"/>
              <w:snapToGrid w:val="0"/>
              <w:spacing w:line="400" w:lineRule="exac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3.根据翻译件的语言风格与可读性打分，共3分。</w:t>
            </w:r>
          </w:p>
          <w:p w14:paraId="7AD26C9A">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（1）高度符合原文风格，表达精炼，完全避免冗长和晦涩，可读性极佳，得3分；</w:t>
            </w:r>
          </w:p>
          <w:p w14:paraId="759D5218">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（2）风格基本适配，较少句子表达不够理想，或偶有轻微冗长或晦涩，得2分；</w:t>
            </w:r>
          </w:p>
          <w:p w14:paraId="2F635031">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（3）风格与原文存在一定偏差，部分表达较冗长或晦涩，可读性一般，得1分；</w:t>
            </w:r>
          </w:p>
          <w:p w14:paraId="100829D1">
            <w:pPr>
              <w:spacing w:line="40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（4）风格严重偏离原文，或存在大量冗长或晦涩表述，可读性差，不得分。</w:t>
            </w:r>
          </w:p>
          <w:p w14:paraId="2438EB61">
            <w:pPr>
              <w:autoSpaceDE w:val="0"/>
              <w:autoSpaceDN w:val="0"/>
              <w:adjustRightInd w:val="0"/>
              <w:snapToGrid w:val="0"/>
              <w:spacing w:line="400" w:lineRule="exact"/>
              <w:rPr>
                <w:rFonts w:hint="eastAsia" w:ascii="宋体" w:hAnsi="宋体" w:eastAsia="宋体" w:cs="宋体"/>
                <w:bCs/>
                <w:kern w:val="0"/>
                <w:sz w:val="24"/>
                <w:szCs w:val="24"/>
                <w:highlight w:val="none"/>
              </w:rPr>
            </w:pPr>
          </w:p>
        </w:tc>
        <w:tc>
          <w:tcPr>
            <w:tcW w:w="745" w:type="pct"/>
            <w:shd w:val="clear" w:color="auto" w:fill="auto"/>
            <w:noWrap/>
            <w:vAlign w:val="center"/>
          </w:tcPr>
          <w:p w14:paraId="36AAA169">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4AFF0353">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342F5A40">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17A60D96">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58640025">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0F665E51">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653CF8DA">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p>
          <w:p w14:paraId="6F23C292">
            <w:pPr>
              <w:autoSpaceDE w:val="0"/>
              <w:autoSpaceDN w:val="0"/>
              <w:adjustRightInd w:val="0"/>
              <w:snapToGrid w:val="0"/>
              <w:spacing w:line="40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13</w:t>
            </w:r>
          </w:p>
        </w:tc>
      </w:tr>
    </w:tbl>
    <w:p w14:paraId="0CBAFCC8">
      <w:pPr>
        <w:spacing w:line="300" w:lineRule="auto"/>
        <w:rPr>
          <w:rFonts w:ascii="宋体" w:hAnsi="宋体"/>
          <w:color w:val="000000"/>
          <w:spacing w:val="10"/>
          <w:sz w:val="24"/>
          <w:szCs w:val="20"/>
          <w:highlight w:val="none"/>
        </w:rPr>
      </w:pPr>
    </w:p>
    <w:p w14:paraId="23552A3C">
      <w:pPr>
        <w:rPr>
          <w:rFonts w:ascii="宋体" w:hAnsi="宋体"/>
          <w:spacing w:val="10"/>
          <w:sz w:val="24"/>
          <w:szCs w:val="24"/>
          <w:highlight w:val="none"/>
        </w:rPr>
      </w:pPr>
      <w:r>
        <w:rPr>
          <w:rFonts w:hint="eastAsia" w:ascii="仿宋" w:hAnsi="仿宋" w:eastAsia="仿宋"/>
          <w:spacing w:val="10"/>
          <w:sz w:val="28"/>
          <w:szCs w:val="28"/>
          <w:highlight w:val="none"/>
        </w:rPr>
        <w:t>注：</w:t>
      </w:r>
    </w:p>
    <w:p w14:paraId="154207CE">
      <w:pPr>
        <w:snapToGrid w:val="0"/>
        <w:spacing w:line="360" w:lineRule="auto"/>
        <w:jc w:val="left"/>
        <w:rPr>
          <w:rFonts w:ascii="仿宋" w:hAnsi="仿宋" w:eastAsia="仿宋"/>
          <w:spacing w:val="10"/>
          <w:sz w:val="24"/>
          <w:szCs w:val="24"/>
          <w:highlight w:val="none"/>
        </w:rPr>
      </w:pPr>
      <w:r>
        <w:rPr>
          <w:rFonts w:ascii="仿宋" w:hAnsi="仿宋" w:eastAsia="仿宋"/>
          <w:spacing w:val="10"/>
          <w:sz w:val="24"/>
          <w:szCs w:val="24"/>
          <w:highlight w:val="none"/>
        </w:rPr>
        <w:t>1</w:t>
      </w:r>
      <w:r>
        <w:rPr>
          <w:rFonts w:hint="eastAsia" w:ascii="仿宋" w:hAnsi="仿宋" w:eastAsia="仿宋"/>
          <w:spacing w:val="10"/>
          <w:sz w:val="24"/>
          <w:szCs w:val="24"/>
          <w:highlight w:val="none"/>
        </w:rPr>
        <w:t>、属于主观评价的指标包括</w:t>
      </w:r>
      <w:r>
        <w:rPr>
          <w:rFonts w:ascii="仿宋" w:hAnsi="仿宋" w:eastAsia="仿宋"/>
          <w:spacing w:val="10"/>
          <w:sz w:val="24"/>
          <w:szCs w:val="24"/>
          <w:highlight w:val="none"/>
          <w:u w:val="single"/>
        </w:rPr>
        <w:t xml:space="preserve">   2、6 </w:t>
      </w:r>
      <w:r>
        <w:rPr>
          <w:rFonts w:hint="eastAsia" w:ascii="仿宋" w:hAnsi="仿宋" w:eastAsia="仿宋"/>
          <w:spacing w:val="10"/>
          <w:sz w:val="24"/>
          <w:szCs w:val="24"/>
          <w:highlight w:val="none"/>
        </w:rPr>
        <w:t>：属于客观评价的指标包括</w:t>
      </w:r>
      <w:r>
        <w:rPr>
          <w:rFonts w:ascii="仿宋" w:hAnsi="仿宋" w:eastAsia="仿宋"/>
          <w:spacing w:val="10"/>
          <w:sz w:val="24"/>
          <w:szCs w:val="24"/>
          <w:highlight w:val="none"/>
          <w:u w:val="single"/>
        </w:rPr>
        <w:t xml:space="preserve">  1</w:t>
      </w:r>
      <w:r>
        <w:rPr>
          <w:rFonts w:hint="eastAsia" w:ascii="仿宋" w:hAnsi="仿宋" w:eastAsia="仿宋"/>
          <w:spacing w:val="10"/>
          <w:sz w:val="24"/>
          <w:szCs w:val="24"/>
          <w:highlight w:val="none"/>
          <w:u w:val="single"/>
        </w:rPr>
        <w:t>、3、</w:t>
      </w:r>
      <w:r>
        <w:rPr>
          <w:rFonts w:ascii="仿宋" w:hAnsi="仿宋" w:eastAsia="仿宋"/>
          <w:spacing w:val="10"/>
          <w:sz w:val="24"/>
          <w:szCs w:val="24"/>
          <w:highlight w:val="none"/>
          <w:u w:val="single"/>
        </w:rPr>
        <w:t>4</w:t>
      </w:r>
      <w:r>
        <w:rPr>
          <w:rFonts w:hint="eastAsia" w:ascii="仿宋" w:hAnsi="仿宋" w:eastAsia="仿宋"/>
          <w:spacing w:val="10"/>
          <w:sz w:val="24"/>
          <w:szCs w:val="24"/>
          <w:highlight w:val="none"/>
          <w:u w:val="single"/>
        </w:rPr>
        <w:t>、5</w:t>
      </w:r>
      <w:r>
        <w:rPr>
          <w:rFonts w:ascii="仿宋" w:hAnsi="仿宋" w:eastAsia="仿宋"/>
          <w:spacing w:val="10"/>
          <w:sz w:val="24"/>
          <w:szCs w:val="24"/>
          <w:highlight w:val="none"/>
          <w:u w:val="single"/>
        </w:rPr>
        <w:t xml:space="preserve"> </w:t>
      </w:r>
      <w:r>
        <w:rPr>
          <w:rFonts w:hint="eastAsia" w:ascii="仿宋" w:hAnsi="仿宋" w:eastAsia="仿宋"/>
          <w:spacing w:val="10"/>
          <w:sz w:val="24"/>
          <w:szCs w:val="24"/>
          <w:highlight w:val="none"/>
          <w:u w:val="none"/>
          <w:lang w:eastAsia="zh-CN"/>
        </w:rPr>
        <w:t>；</w:t>
      </w:r>
      <w:r>
        <w:rPr>
          <w:rFonts w:ascii="仿宋" w:hAnsi="仿宋" w:eastAsia="仿宋"/>
          <w:spacing w:val="10"/>
          <w:sz w:val="24"/>
          <w:szCs w:val="24"/>
          <w:highlight w:val="none"/>
        </w:rPr>
        <w:t xml:space="preserve"> </w:t>
      </w:r>
    </w:p>
    <w:p w14:paraId="213232AB">
      <w:pPr>
        <w:rPr>
          <w:rFonts w:ascii="仿宋" w:hAnsi="仿宋" w:eastAsia="仿宋"/>
          <w:spacing w:val="10"/>
          <w:sz w:val="24"/>
          <w:szCs w:val="24"/>
          <w:highlight w:val="none"/>
        </w:rPr>
      </w:pPr>
      <w:r>
        <w:rPr>
          <w:rFonts w:ascii="仿宋" w:hAnsi="仿宋" w:eastAsia="仿宋"/>
          <w:spacing w:val="10"/>
          <w:sz w:val="24"/>
          <w:szCs w:val="24"/>
          <w:highlight w:val="none"/>
        </w:rPr>
        <w:t>2</w:t>
      </w:r>
      <w:r>
        <w:rPr>
          <w:rFonts w:hint="eastAsia" w:ascii="仿宋" w:hAnsi="仿宋" w:eastAsia="仿宋"/>
          <w:spacing w:val="10"/>
          <w:sz w:val="24"/>
          <w:szCs w:val="24"/>
          <w:highlight w:val="none"/>
        </w:rPr>
        <w:t>、每一评分项均不重复得分；</w:t>
      </w:r>
    </w:p>
    <w:p w14:paraId="1DCE92E1">
      <w:pPr>
        <w:snapToGrid w:val="0"/>
        <w:spacing w:line="360" w:lineRule="auto"/>
        <w:jc w:val="left"/>
        <w:rPr>
          <w:rFonts w:ascii="仿宋" w:hAnsi="仿宋" w:eastAsia="仿宋"/>
          <w:spacing w:val="10"/>
          <w:sz w:val="24"/>
          <w:szCs w:val="24"/>
          <w:highlight w:val="none"/>
        </w:rPr>
      </w:pPr>
      <w:r>
        <w:rPr>
          <w:rFonts w:ascii="仿宋" w:hAnsi="仿宋" w:eastAsia="仿宋"/>
          <w:spacing w:val="10"/>
          <w:sz w:val="24"/>
          <w:szCs w:val="24"/>
          <w:highlight w:val="none"/>
        </w:rPr>
        <w:t>3</w:t>
      </w:r>
      <w:r>
        <w:rPr>
          <w:rFonts w:hint="eastAsia" w:ascii="仿宋" w:hAnsi="仿宋" w:eastAsia="仿宋"/>
          <w:spacing w:val="10"/>
          <w:sz w:val="24"/>
          <w:szCs w:val="24"/>
          <w:highlight w:val="none"/>
        </w:rPr>
        <w:t>、因具有资质、证书等原因得分的，投标人须提交清晰的资质或证书的原件扫描复印件（其他证明文件无效），否则不予得分。</w:t>
      </w:r>
    </w:p>
    <w:p w14:paraId="44C83552">
      <w:pPr>
        <w:rPr>
          <w:rFonts w:ascii="宋体" w:hAnsi="宋体"/>
          <w:color w:val="000000"/>
          <w:spacing w:val="10"/>
          <w:sz w:val="24"/>
          <w:szCs w:val="24"/>
          <w:highlight w:val="none"/>
        </w:rPr>
      </w:pPr>
    </w:p>
    <w:p w14:paraId="4346363E">
      <w:pPr>
        <w:rPr>
          <w:rFonts w:ascii="宋体" w:hAnsi="宋体"/>
          <w:color w:val="000000"/>
          <w:spacing w:val="10"/>
          <w:sz w:val="24"/>
          <w:szCs w:val="24"/>
          <w:highlight w:val="none"/>
        </w:rPr>
      </w:pPr>
    </w:p>
    <w:p w14:paraId="7D4F2889">
      <w:pPr>
        <w:rPr>
          <w:rFonts w:ascii="宋体" w:hAnsi="宋体"/>
          <w:color w:val="000000"/>
          <w:spacing w:val="10"/>
          <w:sz w:val="24"/>
          <w:szCs w:val="24"/>
          <w:highlight w:val="none"/>
        </w:rPr>
      </w:pPr>
    </w:p>
    <w:p w14:paraId="5D614392">
      <w:pPr>
        <w:rPr>
          <w:rFonts w:ascii="宋体" w:hAnsi="宋体"/>
          <w:color w:val="000000"/>
          <w:spacing w:val="10"/>
          <w:sz w:val="24"/>
          <w:szCs w:val="24"/>
          <w:highlight w:val="none"/>
        </w:rPr>
      </w:pPr>
    </w:p>
    <w:p w14:paraId="0A9251D7">
      <w:pPr>
        <w:rPr>
          <w:rFonts w:hint="eastAsia" w:ascii="仿宋" w:hAnsi="仿宋" w:eastAsia="仿宋"/>
          <w:spacing w:val="10"/>
          <w:sz w:val="28"/>
          <w:szCs w:val="28"/>
          <w:highlight w:val="none"/>
        </w:rPr>
      </w:pPr>
      <w:bookmarkStart w:id="6" w:name="_Hlk190450626"/>
      <w:bookmarkStart w:id="7" w:name="_Hlk190450538"/>
      <w:r>
        <w:rPr>
          <w:rFonts w:hint="eastAsia" w:ascii="仿宋" w:hAnsi="仿宋" w:eastAsia="仿宋"/>
          <w:spacing w:val="10"/>
          <w:sz w:val="28"/>
          <w:szCs w:val="28"/>
          <w:highlight w:val="none"/>
        </w:rPr>
        <w:br w:type="page"/>
      </w:r>
    </w:p>
    <w:p w14:paraId="3C805467">
      <w:pPr>
        <w:snapToGrid w:val="0"/>
        <w:spacing w:line="360" w:lineRule="auto"/>
        <w:jc w:val="left"/>
        <w:rPr>
          <w:rFonts w:ascii="仿宋" w:hAnsi="仿宋" w:eastAsia="仿宋"/>
          <w:spacing w:val="10"/>
          <w:sz w:val="28"/>
          <w:szCs w:val="28"/>
          <w:highlight w:val="none"/>
        </w:rPr>
      </w:pPr>
      <w:r>
        <w:rPr>
          <w:rFonts w:hint="eastAsia" w:ascii="仿宋" w:hAnsi="仿宋" w:eastAsia="仿宋"/>
          <w:spacing w:val="10"/>
          <w:sz w:val="28"/>
          <w:szCs w:val="28"/>
          <w:highlight w:val="none"/>
        </w:rPr>
        <w:t>附件1</w:t>
      </w:r>
    </w:p>
    <w:p w14:paraId="2232D115">
      <w:pPr>
        <w:snapToGrid w:val="0"/>
        <w:spacing w:line="360" w:lineRule="auto"/>
        <w:jc w:val="left"/>
        <w:rPr>
          <w:rFonts w:ascii="黑体" w:hAnsi="黑体" w:eastAsia="黑体" w:cs="Times New Roman"/>
          <w:spacing w:val="10"/>
          <w:sz w:val="36"/>
          <w:szCs w:val="36"/>
          <w:highlight w:val="none"/>
        </w:rPr>
      </w:pPr>
      <w:r>
        <w:rPr>
          <w:rFonts w:hint="eastAsia" w:ascii="宋体" w:hAnsi="宋体"/>
          <w:spacing w:val="10"/>
          <w:szCs w:val="21"/>
          <w:highlight w:val="none"/>
        </w:rPr>
        <w:t xml:space="preserve"> </w:t>
      </w:r>
      <w:r>
        <w:rPr>
          <w:rFonts w:ascii="宋体" w:hAnsi="宋体"/>
          <w:spacing w:val="10"/>
          <w:szCs w:val="21"/>
          <w:highlight w:val="none"/>
        </w:rPr>
        <w:t xml:space="preserve">                             </w:t>
      </w:r>
      <w:r>
        <w:rPr>
          <w:rFonts w:ascii="黑体" w:hAnsi="黑体" w:eastAsia="黑体" w:cs="Times New Roman"/>
          <w:spacing w:val="10"/>
          <w:sz w:val="36"/>
          <w:szCs w:val="36"/>
          <w:highlight w:val="none"/>
        </w:rPr>
        <w:t xml:space="preserve"> 中英段落试译</w:t>
      </w:r>
    </w:p>
    <w:p w14:paraId="128BC80E">
      <w:pPr>
        <w:snapToGrid w:val="0"/>
        <w:spacing w:line="360" w:lineRule="auto"/>
        <w:jc w:val="left"/>
        <w:rPr>
          <w:rFonts w:ascii="仿宋" w:hAnsi="仿宋" w:eastAsia="仿宋"/>
          <w:b/>
          <w:bCs/>
          <w:spacing w:val="10"/>
          <w:sz w:val="30"/>
          <w:szCs w:val="30"/>
          <w:highlight w:val="none"/>
        </w:rPr>
      </w:pPr>
      <w:r>
        <w:rPr>
          <w:rFonts w:hint="eastAsia" w:ascii="仿宋" w:hAnsi="仿宋" w:eastAsia="仿宋"/>
          <w:b/>
          <w:bCs/>
          <w:spacing w:val="10"/>
          <w:sz w:val="30"/>
          <w:szCs w:val="30"/>
          <w:highlight w:val="none"/>
        </w:rPr>
        <w:t>1）请将以下中文段落翻译成英文</w:t>
      </w:r>
    </w:p>
    <w:p w14:paraId="1786881F">
      <w:pPr>
        <w:snapToGrid w:val="0"/>
        <w:spacing w:line="440" w:lineRule="exact"/>
        <w:ind w:firstLine="600" w:firstLineChars="200"/>
        <w:rPr>
          <w:rFonts w:ascii="仿宋" w:hAnsi="仿宋" w:eastAsia="仿宋"/>
          <w:spacing w:val="10"/>
          <w:sz w:val="28"/>
          <w:szCs w:val="28"/>
          <w:highlight w:val="none"/>
        </w:rPr>
      </w:pPr>
      <w:r>
        <w:rPr>
          <w:rFonts w:hint="eastAsia" w:ascii="仿宋" w:hAnsi="仿宋" w:eastAsia="仿宋"/>
          <w:spacing w:val="10"/>
          <w:sz w:val="28"/>
          <w:szCs w:val="28"/>
          <w:highlight w:val="none"/>
        </w:rPr>
        <w:t>特朗普总统针对美国各贸易伙伴设定的关税原定于从</w:t>
      </w:r>
      <w:r>
        <w:rPr>
          <w:rFonts w:ascii="仿宋" w:hAnsi="仿宋" w:eastAsia="仿宋"/>
          <w:spacing w:val="10"/>
          <w:sz w:val="28"/>
          <w:szCs w:val="28"/>
          <w:highlight w:val="none"/>
        </w:rPr>
        <w:t>7月9日起</w:t>
      </w:r>
      <w:r>
        <w:rPr>
          <w:rFonts w:hint="eastAsia" w:ascii="仿宋" w:hAnsi="仿宋" w:eastAsia="仿宋"/>
          <w:spacing w:val="10"/>
          <w:sz w:val="28"/>
          <w:szCs w:val="28"/>
          <w:highlight w:val="none"/>
        </w:rPr>
        <w:t>生效</w:t>
      </w:r>
      <w:r>
        <w:rPr>
          <w:rFonts w:ascii="仿宋" w:hAnsi="仿宋" w:eastAsia="仿宋"/>
          <w:spacing w:val="10"/>
          <w:sz w:val="28"/>
          <w:szCs w:val="28"/>
          <w:highlight w:val="none"/>
        </w:rPr>
        <w:t>，再次延期至8月1日。关税大限延期虽为通过谈判达成贸易协议提供了更多时间，但也导致全球市场在更长时间内面临不确定性，对高度依赖复杂供应链产业的影响尤其大。</w:t>
      </w:r>
      <w:r>
        <w:rPr>
          <w:rFonts w:ascii="仿宋" w:hAnsi="仿宋" w:eastAsia="仿宋"/>
          <w:bCs/>
          <w:spacing w:val="10"/>
          <w:sz w:val="28"/>
          <w:szCs w:val="28"/>
          <w:highlight w:val="none"/>
        </w:rPr>
        <w:t>不过虽然关税担忧挥之不去，但迄今为止其对投资者情绪的影响有限，目前主要股指都逼近创纪录高位。</w:t>
      </w:r>
      <w:r>
        <w:rPr>
          <w:rFonts w:ascii="仿宋" w:hAnsi="仿宋" w:eastAsia="仿宋"/>
          <w:spacing w:val="10"/>
          <w:sz w:val="28"/>
          <w:szCs w:val="28"/>
          <w:highlight w:val="none"/>
        </w:rPr>
        <w:t>被市场称为“恐慌指数”的VIX指数也处于较低水平，尤其是与三个月前 “解放日”后飙升对比明显。</w:t>
      </w:r>
    </w:p>
    <w:p w14:paraId="1F20C83C">
      <w:pPr>
        <w:snapToGrid w:val="0"/>
        <w:spacing w:line="440" w:lineRule="exact"/>
        <w:ind w:firstLine="600" w:firstLineChars="200"/>
        <w:rPr>
          <w:rFonts w:ascii="仿宋" w:hAnsi="仿宋" w:eastAsia="仿宋"/>
          <w:spacing w:val="10"/>
          <w:sz w:val="28"/>
          <w:szCs w:val="28"/>
          <w:highlight w:val="none"/>
        </w:rPr>
      </w:pPr>
      <w:r>
        <w:rPr>
          <w:rFonts w:hint="eastAsia" w:ascii="仿宋" w:hAnsi="仿宋" w:eastAsia="仿宋"/>
          <w:spacing w:val="10"/>
          <w:sz w:val="28"/>
          <w:szCs w:val="28"/>
          <w:highlight w:val="none"/>
        </w:rPr>
        <w:t>在这一背景下，金价继续回撤，目前交投于</w:t>
      </w:r>
      <w:r>
        <w:rPr>
          <w:rFonts w:ascii="仿宋" w:hAnsi="仿宋" w:eastAsia="仿宋"/>
          <w:spacing w:val="10"/>
          <w:sz w:val="28"/>
          <w:szCs w:val="28"/>
          <w:highlight w:val="none"/>
        </w:rPr>
        <w:t>3,300美元/盎司下方，自6月中旬的高点已下跌5%。除地缘政治紧张局势缓和外，美中两国更快达成了结果优于预期的贸易协议，此后市场对全球经济衰退的担忧降温，也导致金价回落。经济数据继续向好和企业盈利强劲亦提振投资者的乐观情绪。由于就业数据显示美国劳动力市场意外充满韧性，投资者已下调了对年底前美联储降息次数的预期，近期美债收益率回升也打压黄金涨势。</w:t>
      </w:r>
    </w:p>
    <w:p w14:paraId="47AE5766">
      <w:pPr>
        <w:snapToGrid w:val="0"/>
        <w:spacing w:line="360" w:lineRule="auto"/>
        <w:jc w:val="left"/>
        <w:rPr>
          <w:rFonts w:ascii="仿宋" w:hAnsi="仿宋" w:eastAsia="仿宋"/>
          <w:spacing w:val="10"/>
          <w:sz w:val="30"/>
          <w:szCs w:val="30"/>
          <w:highlight w:val="none"/>
        </w:rPr>
      </w:pPr>
    </w:p>
    <w:p w14:paraId="065BC757">
      <w:pPr>
        <w:snapToGrid w:val="0"/>
        <w:spacing w:line="360" w:lineRule="auto"/>
        <w:jc w:val="left"/>
        <w:rPr>
          <w:rFonts w:ascii="仿宋" w:hAnsi="仿宋" w:eastAsia="仿宋"/>
          <w:b/>
          <w:bCs/>
          <w:spacing w:val="10"/>
          <w:sz w:val="30"/>
          <w:szCs w:val="30"/>
          <w:highlight w:val="none"/>
        </w:rPr>
      </w:pPr>
      <w:r>
        <w:rPr>
          <w:rFonts w:hint="eastAsia" w:ascii="仿宋" w:hAnsi="仿宋" w:eastAsia="仿宋"/>
          <w:b/>
          <w:bCs/>
          <w:spacing w:val="10"/>
          <w:sz w:val="30"/>
          <w:szCs w:val="30"/>
          <w:highlight w:val="none"/>
        </w:rPr>
        <w:t>2）请将以下英文段落翻译成中文</w:t>
      </w:r>
    </w:p>
    <w:p w14:paraId="09FAFB92">
      <w:pPr>
        <w:snapToGrid w:val="0"/>
        <w:spacing w:line="360" w:lineRule="auto"/>
        <w:rPr>
          <w:rFonts w:ascii="Times New Roman" w:hAnsi="Times New Roman" w:cs="Times New Roman"/>
          <w:spacing w:val="10"/>
          <w:sz w:val="24"/>
          <w:szCs w:val="24"/>
          <w:highlight w:val="none"/>
        </w:rPr>
      </w:pPr>
      <w:r>
        <w:rPr>
          <w:rFonts w:ascii="Times New Roman" w:hAnsi="Times New Roman" w:cs="Times New Roman"/>
          <w:spacing w:val="10"/>
          <w:sz w:val="24"/>
          <w:szCs w:val="24"/>
          <w:highlight w:val="none"/>
        </w:rPr>
        <w:t xml:space="preserve">Following a post-COVID rebound in 2021, demand recorded yet another jump last year, rising by 18% to a new high of 1,242Moz. Leaving aside a small drop in photographic and brazing alloys and solders demand, all other areas of silver fabrication achieved record highs in 2022. </w:t>
      </w:r>
    </w:p>
    <w:p w14:paraId="7C91D4E5">
      <w:pPr>
        <w:snapToGrid w:val="0"/>
        <w:spacing w:line="360" w:lineRule="auto"/>
        <w:rPr>
          <w:rFonts w:ascii="Times New Roman" w:hAnsi="Times New Roman" w:cs="Times New Roman"/>
          <w:spacing w:val="10"/>
          <w:sz w:val="24"/>
          <w:szCs w:val="24"/>
          <w:highlight w:val="none"/>
        </w:rPr>
      </w:pPr>
      <w:r>
        <w:rPr>
          <w:rFonts w:ascii="Times New Roman" w:hAnsi="Times New Roman" w:cs="Times New Roman"/>
          <w:spacing w:val="10"/>
          <w:sz w:val="24"/>
          <w:szCs w:val="24"/>
          <w:highlight w:val="none"/>
        </w:rPr>
        <w:t xml:space="preserve">Physical investment rose for the fifth straight year, contributing to the largest share of gains in 2022. India emerged as the top performer (+188%), with silver investment benefiting from lower rupee prices. Investors and traders there also stocked up on silver in anticipation of a duty hike after the import duty on gold was raised. </w:t>
      </w:r>
      <w:r>
        <w:rPr>
          <w:rFonts w:ascii="Times New Roman" w:hAnsi="Times New Roman" w:cs="Times New Roman"/>
          <w:spacing w:val="10"/>
          <w:sz w:val="24"/>
          <w:szCs w:val="24"/>
          <w:highlight w:val="none"/>
          <w:u w:val="single"/>
        </w:rPr>
        <w:t xml:space="preserve">Growth in the US and Australia was relatively modest, albeit from an already high base. </w:t>
      </w:r>
      <w:r>
        <w:rPr>
          <w:rFonts w:ascii="Times New Roman" w:hAnsi="Times New Roman" w:cs="Times New Roman"/>
          <w:spacing w:val="10"/>
          <w:sz w:val="24"/>
          <w:szCs w:val="24"/>
          <w:highlight w:val="none"/>
        </w:rPr>
        <w:t xml:space="preserve">European demand was essentially unchanged, as Germany, its largest market, grappled with an unexpected and sudden VAT change. </w:t>
      </w:r>
    </w:p>
    <w:p w14:paraId="01A152A0">
      <w:pPr>
        <w:autoSpaceDE w:val="0"/>
        <w:autoSpaceDN w:val="0"/>
        <w:adjustRightInd w:val="0"/>
        <w:spacing w:after="156" w:afterLines="50" w:line="370" w:lineRule="exact"/>
        <w:rPr>
          <w:rFonts w:ascii="Times New Roman" w:hAnsi="Times New Roman" w:eastAsia="宋体" w:cs="Times New Roman"/>
          <w:sz w:val="28"/>
          <w:szCs w:val="28"/>
          <w:highlight w:val="none"/>
        </w:rPr>
      </w:pPr>
      <w:r>
        <w:rPr>
          <w:rFonts w:ascii="Times New Roman" w:hAnsi="Times New Roman" w:cs="Times New Roman"/>
          <w:spacing w:val="10"/>
          <w:sz w:val="24"/>
          <w:szCs w:val="24"/>
          <w:highlight w:val="none"/>
        </w:rPr>
        <w:t>Industrial offtake also posted a solid rise (+5.4%). Some of this reflected the structural gains from green economy applications, in particular a notable growth in photovoltaics (PV). Investment in power generation and distribution, a firmer automotive sector and limited thrifting and substitution also assisted here. Similarly, other industrial demand rose, chiefly due to growth for ethylene oxide (EO) catalysts.</w:t>
      </w:r>
      <w:r>
        <w:rPr>
          <w:rFonts w:ascii="Times New Roman" w:hAnsi="Times New Roman" w:eastAsia="宋体" w:cs="Times New Roman"/>
          <w:sz w:val="28"/>
          <w:szCs w:val="28"/>
          <w:highlight w:val="none"/>
        </w:rPr>
        <w:t xml:space="preserve"> </w:t>
      </w:r>
    </w:p>
    <w:p w14:paraId="24EB7A4D">
      <w:pPr>
        <w:autoSpaceDE w:val="0"/>
        <w:autoSpaceDN w:val="0"/>
        <w:adjustRightInd w:val="0"/>
        <w:spacing w:after="156" w:afterLines="50" w:line="370" w:lineRule="exact"/>
        <w:rPr>
          <w:rFonts w:ascii="Times New Roman" w:hAnsi="Times New Roman" w:cs="Times New Roman"/>
          <w:spacing w:val="10"/>
          <w:sz w:val="24"/>
          <w:szCs w:val="24"/>
          <w:highlight w:val="none"/>
        </w:rPr>
      </w:pPr>
      <w:r>
        <w:rPr>
          <w:rFonts w:ascii="Times New Roman" w:hAnsi="Times New Roman" w:cs="Times New Roman"/>
          <w:spacing w:val="10"/>
          <w:sz w:val="24"/>
          <w:szCs w:val="24"/>
          <w:highlight w:val="none"/>
        </w:rPr>
        <w:t xml:space="preserve">With a 3% rise, recycling grew to a 10-year high in 2022. As in the previous year, industrial scrap accounted for most gains, which in turn reflected higher processing of spent EO catalysts. Jewelry, silverware and coin scrap were only marginally higher, while photographic scrap’s structural slide continued. </w:t>
      </w:r>
    </w:p>
    <w:p w14:paraId="78BF9BF6">
      <w:pPr>
        <w:snapToGrid w:val="0"/>
        <w:spacing w:line="360" w:lineRule="auto"/>
        <w:rPr>
          <w:rFonts w:ascii="Times New Roman" w:hAnsi="Times New Roman" w:cs="Times New Roman"/>
          <w:spacing w:val="10"/>
          <w:sz w:val="24"/>
          <w:szCs w:val="24"/>
          <w:highlight w:val="none"/>
        </w:rPr>
      </w:pPr>
    </w:p>
    <w:p w14:paraId="69CF165A">
      <w:pPr>
        <w:snapToGrid w:val="0"/>
        <w:spacing w:line="360" w:lineRule="auto"/>
        <w:jc w:val="left"/>
        <w:rPr>
          <w:rFonts w:ascii="宋体" w:hAnsi="宋体"/>
          <w:spacing w:val="10"/>
          <w:sz w:val="24"/>
          <w:szCs w:val="24"/>
          <w:highlight w:val="none"/>
        </w:rPr>
      </w:pPr>
    </w:p>
    <w:p w14:paraId="4899652B">
      <w:pPr>
        <w:snapToGrid w:val="0"/>
        <w:spacing w:line="360" w:lineRule="auto"/>
        <w:jc w:val="left"/>
        <w:rPr>
          <w:rFonts w:ascii="宋体" w:hAnsi="宋体"/>
          <w:spacing w:val="10"/>
          <w:szCs w:val="21"/>
          <w:highlight w:val="none"/>
        </w:rPr>
      </w:pPr>
    </w:p>
    <w:p w14:paraId="58AC6534">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4F72DF9A">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bookmarkEnd w:id="6"/>
    <w:p w14:paraId="3B0FA505">
      <w:pPr>
        <w:tabs>
          <w:tab w:val="left" w:pos="425"/>
        </w:tabs>
        <w:adjustRightInd w:val="0"/>
        <w:spacing w:line="360" w:lineRule="auto"/>
        <w:ind w:firstLine="480" w:firstLineChars="200"/>
        <w:outlineLvl w:val="1"/>
        <w:rPr>
          <w:rFonts w:ascii="宋体" w:hAnsi="宋体" w:cs="宋体"/>
          <w:snapToGrid w:val="0"/>
          <w:sz w:val="24"/>
          <w:szCs w:val="24"/>
          <w:highlight w:val="none"/>
        </w:rPr>
      </w:pPr>
    </w:p>
    <w:p w14:paraId="45D7945A">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投标人未被“信用中国”网站（www.creditchina.gov.cn）列入失信被执行人、重大税收违法失信主体、政府采购严重违法失信行为记录名单。</w:t>
      </w:r>
    </w:p>
    <w:p w14:paraId="1F8CC302">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74E2DFF5">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18AF0FFD">
      <w:pPr>
        <w:spacing w:line="360" w:lineRule="auto"/>
        <w:rPr>
          <w:rFonts w:ascii="宋体" w:hAnsi="宋体" w:cs="宋体"/>
          <w:snapToGrid w:val="0"/>
          <w:sz w:val="24"/>
          <w:szCs w:val="24"/>
          <w:highlight w:val="none"/>
        </w:rPr>
      </w:pPr>
    </w:p>
    <w:p w14:paraId="01E7D8D0">
      <w:pPr>
        <w:spacing w:line="360" w:lineRule="auto"/>
        <w:rPr>
          <w:rFonts w:ascii="宋体" w:hAnsi="宋体" w:cs="宋体"/>
          <w:b/>
          <w:snapToGrid w:val="0"/>
          <w:sz w:val="24"/>
          <w:szCs w:val="24"/>
          <w:highlight w:val="none"/>
        </w:rPr>
      </w:pPr>
      <w:r>
        <w:rPr>
          <w:rFonts w:hint="eastAsia" w:ascii="宋体" w:hAnsi="宋体" w:cs="宋体"/>
          <w:b/>
          <w:snapToGrid w:val="0"/>
          <w:sz w:val="24"/>
          <w:szCs w:val="24"/>
          <w:highlight w:val="none"/>
        </w:rPr>
        <w:t>“信用中国”网站（www.creditchina.gov.cn）“专项查询”</w:t>
      </w:r>
    </w:p>
    <w:p w14:paraId="6F33FE91">
      <w:pPr>
        <w:spacing w:line="360" w:lineRule="auto"/>
        <w:rPr>
          <w:rFonts w:ascii="宋体" w:hAnsi="宋体" w:cs="宋体"/>
          <w:snapToGrid w:val="0"/>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highlight w:val="none"/>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5950" cy="4117340"/>
                    </a:xfrm>
                    <a:prstGeom prst="rect">
                      <a:avLst/>
                    </a:prstGeom>
                  </pic:spPr>
                </pic:pic>
              </a:graphicData>
            </a:graphic>
          </wp:inline>
        </w:drawing>
      </w:r>
    </w:p>
    <w:p w14:paraId="26A6ED9C">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2F8E0FCB">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“失信被执行人”情况查询记录截图</w:t>
      </w:r>
      <w:r>
        <w:rPr>
          <w:rFonts w:hint="eastAsia" w:ascii="宋体" w:hAnsi="宋体" w:cs="宋体"/>
          <w:b/>
          <w:kern w:val="0"/>
          <w:sz w:val="24"/>
          <w:szCs w:val="24"/>
          <w:highlight w:val="none"/>
        </w:rPr>
        <w:t>（须包含投标人全称、查询结果及查询时间）</w:t>
      </w:r>
    </w:p>
    <w:p w14:paraId="0CA67F45">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0D4A0824">
      <w:pPr>
        <w:spacing w:line="360" w:lineRule="auto"/>
        <w:rPr>
          <w:rFonts w:hint="eastAsia" w:ascii="宋体" w:hAnsi="宋体" w:cs="宋体"/>
          <w:sz w:val="24"/>
          <w:szCs w:val="24"/>
          <w:highlight w:val="none"/>
        </w:rPr>
      </w:pPr>
      <w:r>
        <w:rPr>
          <w:highlight w:val="none"/>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3D8C9E09">
      <w:pPr>
        <w:spacing w:line="360" w:lineRule="auto"/>
        <w:rPr>
          <w:rFonts w:ascii="宋体" w:hAnsi="宋体" w:cs="宋体"/>
          <w:sz w:val="24"/>
          <w:szCs w:val="24"/>
          <w:highlight w:val="none"/>
        </w:rPr>
      </w:pPr>
    </w:p>
    <w:p w14:paraId="571A339E">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129C79E4">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“重大税收违法失信主体”情况查询记录截图</w:t>
      </w:r>
      <w:r>
        <w:rPr>
          <w:rFonts w:hint="eastAsia" w:ascii="宋体" w:hAnsi="宋体" w:cs="宋体"/>
          <w:b/>
          <w:kern w:val="0"/>
          <w:sz w:val="24"/>
          <w:szCs w:val="24"/>
          <w:highlight w:val="none"/>
        </w:rPr>
        <w:t>（须包含投标人全称、查询结果及查询时间）</w:t>
      </w:r>
    </w:p>
    <w:p w14:paraId="6A2515DF">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highlight w:val="none"/>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0D195C79">
      <w:pPr>
        <w:spacing w:line="360" w:lineRule="auto"/>
        <w:rPr>
          <w:rFonts w:ascii="宋体" w:hAnsi="宋体" w:cs="宋体"/>
          <w:sz w:val="24"/>
          <w:szCs w:val="24"/>
          <w:highlight w:val="none"/>
        </w:rPr>
      </w:pPr>
      <w:r>
        <w:rPr>
          <w:highlight w:val="none"/>
        </w:rP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0906B6B8">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6B636E62">
      <w:pPr>
        <w:spacing w:line="360" w:lineRule="auto"/>
        <w:rPr>
          <w:rFonts w:hint="eastAsia" w:ascii="宋体" w:hAnsi="宋体" w:cs="宋体"/>
          <w:b/>
          <w:kern w:val="0"/>
          <w:sz w:val="24"/>
          <w:szCs w:val="24"/>
          <w:highlight w:val="none"/>
        </w:rPr>
      </w:pPr>
      <w:r>
        <w:rPr>
          <w:rFonts w:hint="eastAsia" w:ascii="宋体" w:hAnsi="宋体" w:cs="宋体"/>
          <w:b/>
          <w:snapToGrid w:val="0"/>
          <w:sz w:val="24"/>
          <w:szCs w:val="24"/>
          <w:highlight w:val="none"/>
        </w:rPr>
        <w:t>“政府采购严重违法失信行为记录名单”情况查询记录截图</w:t>
      </w:r>
      <w:r>
        <w:rPr>
          <w:rFonts w:hint="eastAsia" w:ascii="宋体" w:hAnsi="宋体" w:cs="宋体"/>
          <w:b/>
          <w:kern w:val="0"/>
          <w:sz w:val="24"/>
          <w:szCs w:val="24"/>
          <w:highlight w:val="none"/>
        </w:rPr>
        <w:t>（须包含投标人全称、查询结果及查询时间）</w:t>
      </w:r>
    </w:p>
    <w:p w14:paraId="3AC0DA0C">
      <w:pPr>
        <w:pStyle w:val="4"/>
        <w:ind w:firstLine="0"/>
        <w:rPr>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2336;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4947FE70">
      <w:pPr>
        <w:pStyle w:val="4"/>
        <w:ind w:firstLine="0"/>
        <w:rPr>
          <w:highlight w:val="none"/>
        </w:rPr>
      </w:pPr>
    </w:p>
    <w:p w14:paraId="5F4286F3">
      <w:pPr>
        <w:pStyle w:val="4"/>
        <w:ind w:firstLine="0"/>
        <w:rPr>
          <w:rFonts w:hint="eastAsia"/>
          <w:highlight w:val="none"/>
        </w:rPr>
      </w:pPr>
      <w:r>
        <w:rPr>
          <w:highlight w:val="none"/>
        </w:rPr>
        <w:drawing>
          <wp:inline distT="0" distB="0" distL="0" distR="0">
            <wp:extent cx="5890260" cy="3179445"/>
            <wp:effectExtent l="0" t="0" r="152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13CED1B6">
      <w:pPr>
        <w:rPr>
          <w:rFonts w:hint="eastAsia" w:ascii="宋体" w:hAnsi="宋体"/>
          <w:color w:val="000000"/>
          <w:spacing w:val="10"/>
          <w:sz w:val="24"/>
          <w:szCs w:val="24"/>
          <w:highlight w:val="none"/>
        </w:rPr>
      </w:pPr>
      <w:r>
        <w:rPr>
          <w:rFonts w:ascii="宋体" w:hAnsi="宋体"/>
          <w:color w:val="000000"/>
          <w:spacing w:val="10"/>
          <w:sz w:val="24"/>
          <w:szCs w:val="24"/>
          <w:highlight w:val="none"/>
        </w:rPr>
        <w:br w:type="page"/>
      </w:r>
    </w:p>
    <w:bookmarkEnd w:id="7"/>
    <w:p w14:paraId="50CD763D">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1574B085">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6098B353">
      <w:pPr>
        <w:spacing w:line="460" w:lineRule="exact"/>
        <w:rPr>
          <w:rFonts w:ascii="宋体" w:cs="宋体"/>
          <w:b/>
          <w:bCs/>
          <w:sz w:val="44"/>
          <w:szCs w:val="44"/>
          <w:highlight w:val="none"/>
        </w:rPr>
      </w:pPr>
    </w:p>
    <w:p w14:paraId="2D7EA64E">
      <w:pPr>
        <w:spacing w:line="460" w:lineRule="exact"/>
        <w:jc w:val="center"/>
        <w:rPr>
          <w:rFonts w:ascii="宋体" w:hAnsi="宋体" w:eastAsia="宋体" w:cs="Times New Roman"/>
          <w:b/>
          <w:snapToGrid w:val="0"/>
          <w:spacing w:val="-2"/>
          <w:kern w:val="0"/>
          <w:sz w:val="32"/>
          <w:szCs w:val="32"/>
          <w:highlight w:val="none"/>
        </w:rPr>
      </w:pPr>
      <w:r>
        <w:rPr>
          <w:rFonts w:hint="eastAsia" w:ascii="宋体" w:hAnsi="宋体" w:eastAsia="宋体" w:cs="Times New Roman"/>
          <w:b/>
          <w:snapToGrid w:val="0"/>
          <w:spacing w:val="-2"/>
          <w:kern w:val="0"/>
          <w:sz w:val="32"/>
          <w:szCs w:val="32"/>
          <w:highlight w:val="none"/>
        </w:rPr>
        <w:t>翻译服务合同</w:t>
      </w:r>
    </w:p>
    <w:p w14:paraId="6EBEBB7A">
      <w:pPr>
        <w:spacing w:line="460" w:lineRule="exact"/>
        <w:rPr>
          <w:rFonts w:ascii="宋体" w:hAnsi="宋体" w:eastAsia="宋体" w:cs="宋体"/>
          <w:b/>
          <w:bCs/>
          <w:szCs w:val="21"/>
          <w:highlight w:val="none"/>
        </w:rPr>
      </w:pPr>
    </w:p>
    <w:p w14:paraId="262B198E">
      <w:pPr>
        <w:spacing w:line="460" w:lineRule="exact"/>
        <w:rPr>
          <w:rFonts w:ascii="宋体" w:hAnsi="宋体" w:eastAsia="宋体" w:cs="宋体"/>
          <w:b/>
          <w:bCs/>
          <w:szCs w:val="21"/>
          <w:highlight w:val="none"/>
        </w:rPr>
      </w:pPr>
      <w:r>
        <w:rPr>
          <w:rFonts w:hint="eastAsia" w:ascii="宋体" w:hAnsi="宋体" w:eastAsia="宋体" w:cs="宋体"/>
          <w:b/>
          <w:bCs/>
          <w:szCs w:val="21"/>
          <w:highlight w:val="none"/>
        </w:rPr>
        <w:t>甲方：</w:t>
      </w:r>
    </w:p>
    <w:p w14:paraId="5E801528">
      <w:pPr>
        <w:spacing w:line="460" w:lineRule="exact"/>
        <w:rPr>
          <w:rFonts w:ascii="宋体" w:hAnsi="宋体" w:eastAsia="宋体" w:cs="宋体"/>
          <w:szCs w:val="21"/>
          <w:highlight w:val="none"/>
        </w:rPr>
      </w:pPr>
      <w:r>
        <w:rPr>
          <w:rFonts w:hint="eastAsia" w:ascii="宋体" w:hAnsi="宋体" w:eastAsia="宋体" w:cs="宋体"/>
          <w:szCs w:val="21"/>
          <w:highlight w:val="none"/>
        </w:rPr>
        <w:t>地址：</w:t>
      </w:r>
    </w:p>
    <w:p w14:paraId="72B87EB0">
      <w:pPr>
        <w:tabs>
          <w:tab w:val="left" w:pos="4140"/>
        </w:tabs>
        <w:spacing w:line="460" w:lineRule="exact"/>
        <w:rPr>
          <w:rFonts w:ascii="宋体" w:hAnsi="宋体" w:eastAsia="宋体" w:cs="宋体"/>
          <w:szCs w:val="21"/>
          <w:highlight w:val="none"/>
        </w:rPr>
      </w:pPr>
      <w:r>
        <w:rPr>
          <w:rFonts w:hint="eastAsia" w:ascii="宋体" w:hAnsi="宋体" w:eastAsia="宋体" w:cs="宋体"/>
          <w:szCs w:val="21"/>
          <w:highlight w:val="none"/>
        </w:rPr>
        <w:t>电话：</w:t>
      </w:r>
    </w:p>
    <w:p w14:paraId="2AE11A01">
      <w:pPr>
        <w:tabs>
          <w:tab w:val="left" w:pos="4140"/>
        </w:tabs>
        <w:spacing w:line="460" w:lineRule="exact"/>
        <w:rPr>
          <w:rFonts w:ascii="宋体" w:hAnsi="宋体" w:eastAsia="宋体" w:cs="宋体"/>
          <w:szCs w:val="21"/>
          <w:highlight w:val="none"/>
        </w:rPr>
      </w:pPr>
      <w:r>
        <w:rPr>
          <w:rFonts w:hint="eastAsia" w:ascii="宋体" w:hAnsi="宋体" w:eastAsia="宋体" w:cs="宋体"/>
          <w:szCs w:val="21"/>
          <w:highlight w:val="none"/>
        </w:rPr>
        <w:t>传真：</w:t>
      </w:r>
    </w:p>
    <w:p w14:paraId="18AF59C7">
      <w:pPr>
        <w:rPr>
          <w:rFonts w:ascii="宋体" w:hAnsi="宋体" w:eastAsia="宋体" w:cs="宋体"/>
          <w:b/>
          <w:bCs/>
          <w:szCs w:val="21"/>
          <w:highlight w:val="none"/>
        </w:rPr>
      </w:pPr>
      <w:r>
        <w:rPr>
          <w:rFonts w:hint="eastAsia" w:ascii="宋体" w:hAnsi="宋体" w:eastAsia="宋体" w:cs="宋体"/>
          <w:b/>
          <w:bCs/>
          <w:szCs w:val="21"/>
          <w:highlight w:val="none"/>
        </w:rPr>
        <w:t xml:space="preserve">               </w:t>
      </w:r>
    </w:p>
    <w:p w14:paraId="1A13F0BA">
      <w:pPr>
        <w:spacing w:line="460" w:lineRule="exact"/>
        <w:rPr>
          <w:rFonts w:ascii="宋体" w:hAnsi="宋体" w:eastAsia="宋体" w:cs="宋体"/>
          <w:b/>
          <w:bCs/>
          <w:szCs w:val="21"/>
          <w:highlight w:val="none"/>
        </w:rPr>
      </w:pPr>
      <w:r>
        <w:rPr>
          <w:rFonts w:hint="eastAsia" w:ascii="宋体" w:hAnsi="宋体" w:eastAsia="宋体" w:cs="宋体"/>
          <w:b/>
          <w:bCs/>
          <w:szCs w:val="21"/>
          <w:highlight w:val="none"/>
        </w:rPr>
        <w:t xml:space="preserve">乙方： </w:t>
      </w:r>
    </w:p>
    <w:p w14:paraId="0A06C359">
      <w:pPr>
        <w:spacing w:line="460" w:lineRule="exact"/>
        <w:rPr>
          <w:rFonts w:ascii="宋体" w:hAnsi="宋体" w:eastAsia="宋体" w:cs="宋体"/>
          <w:szCs w:val="21"/>
          <w:highlight w:val="none"/>
        </w:rPr>
      </w:pPr>
      <w:r>
        <w:rPr>
          <w:rFonts w:hint="eastAsia" w:ascii="宋体" w:hAnsi="宋体" w:eastAsia="宋体" w:cs="宋体"/>
          <w:szCs w:val="21"/>
          <w:highlight w:val="none"/>
        </w:rPr>
        <w:t xml:space="preserve">地址： </w:t>
      </w:r>
    </w:p>
    <w:p w14:paraId="4080F484">
      <w:pPr>
        <w:spacing w:line="460" w:lineRule="exact"/>
        <w:rPr>
          <w:rFonts w:ascii="宋体" w:hAnsi="宋体" w:eastAsia="宋体" w:cs="宋体"/>
          <w:szCs w:val="21"/>
          <w:highlight w:val="none"/>
        </w:rPr>
      </w:pPr>
      <w:r>
        <w:rPr>
          <w:rFonts w:hint="eastAsia" w:ascii="宋体" w:hAnsi="宋体" w:eastAsia="宋体" w:cs="宋体"/>
          <w:szCs w:val="21"/>
          <w:highlight w:val="none"/>
        </w:rPr>
        <w:t>电话：</w:t>
      </w:r>
    </w:p>
    <w:p w14:paraId="2E3134DC">
      <w:pPr>
        <w:spacing w:line="460" w:lineRule="exact"/>
        <w:rPr>
          <w:rFonts w:ascii="宋体" w:hAnsi="宋体" w:eastAsia="宋体" w:cs="宋体"/>
          <w:szCs w:val="21"/>
          <w:highlight w:val="none"/>
        </w:rPr>
      </w:pPr>
      <w:r>
        <w:rPr>
          <w:rFonts w:hint="eastAsia" w:ascii="宋体" w:hAnsi="宋体" w:eastAsia="宋体" w:cs="宋体"/>
          <w:szCs w:val="21"/>
          <w:highlight w:val="none"/>
        </w:rPr>
        <w:t>传真：</w:t>
      </w:r>
    </w:p>
    <w:p w14:paraId="30C5ABA6">
      <w:pPr>
        <w:spacing w:line="460" w:lineRule="exact"/>
        <w:rPr>
          <w:rFonts w:ascii="宋体" w:hAnsi="宋体" w:eastAsia="宋体" w:cs="宋体"/>
          <w:b/>
          <w:bCs/>
          <w:szCs w:val="21"/>
          <w:highlight w:val="none"/>
        </w:rPr>
      </w:pPr>
    </w:p>
    <w:p w14:paraId="2A56BCF9">
      <w:pPr>
        <w:numPr>
          <w:ilvl w:val="0"/>
          <w:numId w:val="17"/>
        </w:numPr>
        <w:tabs>
          <w:tab w:val="left" w:pos="0"/>
          <w:tab w:val="left" w:pos="540"/>
        </w:tabs>
        <w:spacing w:line="460" w:lineRule="exact"/>
        <w:ind w:left="0" w:firstLine="0"/>
        <w:rPr>
          <w:rFonts w:ascii="宋体" w:hAnsi="宋体" w:eastAsia="宋体" w:cs="宋体"/>
          <w:b/>
          <w:bCs/>
          <w:szCs w:val="21"/>
          <w:highlight w:val="none"/>
        </w:rPr>
      </w:pPr>
      <w:r>
        <w:rPr>
          <w:rFonts w:hint="eastAsia" w:ascii="宋体" w:hAnsi="宋体" w:eastAsia="宋体" w:cs="宋体"/>
          <w:b/>
          <w:bCs/>
          <w:szCs w:val="21"/>
          <w:highlight w:val="none"/>
        </w:rPr>
        <w:t>为保护本合同各方的合法权益，根据《中华人民共和国民法典》等国家法律法规及规范性文件的规定，并严格遵循招标文件的相关要求，甲方和乙方订立本合同，以兹信守。</w:t>
      </w:r>
    </w:p>
    <w:p w14:paraId="5C9C62BD">
      <w:pPr>
        <w:numPr>
          <w:ilvl w:val="0"/>
          <w:numId w:val="18"/>
        </w:numPr>
        <w:tabs>
          <w:tab w:val="left" w:pos="540"/>
        </w:tabs>
        <w:spacing w:before="100" w:beforeAutospacing="1" w:after="100" w:afterAutospacing="1" w:line="460" w:lineRule="exact"/>
        <w:rPr>
          <w:rFonts w:ascii="宋体" w:hAnsi="宋体" w:eastAsia="宋体" w:cs="宋体"/>
          <w:b/>
          <w:bCs/>
          <w:szCs w:val="21"/>
          <w:highlight w:val="none"/>
        </w:rPr>
      </w:pPr>
      <w:r>
        <w:rPr>
          <w:rFonts w:hint="eastAsia" w:ascii="宋体" w:hAnsi="宋体" w:eastAsia="宋体" w:cs="宋体"/>
          <w:b/>
          <w:bCs/>
          <w:szCs w:val="21"/>
          <w:highlight w:val="none"/>
        </w:rPr>
        <w:t>合同总金额与明细</w:t>
      </w:r>
    </w:p>
    <w:p w14:paraId="7684D508">
      <w:pPr>
        <w:numPr>
          <w:ilvl w:val="1"/>
          <w:numId w:val="19"/>
        </w:numPr>
        <w:tabs>
          <w:tab w:val="left" w:pos="540"/>
          <w:tab w:val="left" w:pos="780"/>
          <w:tab w:val="clear" w:pos="786"/>
        </w:tabs>
        <w:spacing w:line="460" w:lineRule="exact"/>
        <w:rPr>
          <w:rFonts w:ascii="宋体" w:hAnsi="宋体" w:eastAsia="宋体" w:cs="宋体"/>
          <w:szCs w:val="21"/>
          <w:highlight w:val="none"/>
        </w:rPr>
      </w:pPr>
      <w:r>
        <w:rPr>
          <w:rFonts w:hint="eastAsia" w:ascii="宋体" w:hAnsi="宋体" w:eastAsia="宋体" w:cs="宋体"/>
          <w:szCs w:val="21"/>
          <w:highlight w:val="none"/>
        </w:rPr>
        <w:t xml:space="preserve">合同总金额（含税）： </w:t>
      </w:r>
      <w:r>
        <w:rPr>
          <w:rFonts w:hint="eastAsia" w:ascii="宋体" w:hAnsi="宋体" w:eastAsia="宋体" w:cs="宋体"/>
          <w:b/>
          <w:bCs/>
          <w:szCs w:val="21"/>
          <w:highlight w:val="none"/>
          <w:u w:val="single"/>
        </w:rPr>
        <w:t xml:space="preserve">¥  </w:t>
      </w:r>
      <w:r>
        <w:rPr>
          <w:rFonts w:ascii="宋体" w:hAnsi="宋体" w:eastAsia="宋体" w:cs="宋体"/>
          <w:b/>
          <w:bCs/>
          <w:szCs w:val="21"/>
          <w:highlight w:val="none"/>
          <w:u w:val="single"/>
        </w:rPr>
        <w:t xml:space="preserve">     </w:t>
      </w:r>
      <w:r>
        <w:rPr>
          <w:rFonts w:hint="eastAsia" w:ascii="宋体" w:hAnsi="宋体" w:eastAsia="宋体" w:cs="宋体"/>
          <w:b/>
          <w:bCs/>
          <w:szCs w:val="21"/>
          <w:highlight w:val="none"/>
          <w:u w:val="single"/>
        </w:rPr>
        <w:t xml:space="preserve"> 元（大写：  万</w:t>
      </w:r>
      <w:r>
        <w:rPr>
          <w:rFonts w:ascii="宋体" w:hAnsi="宋体" w:eastAsia="宋体" w:cs="宋体"/>
          <w:b/>
          <w:bCs/>
          <w:szCs w:val="21"/>
          <w:highlight w:val="none"/>
          <w:u w:val="single"/>
        </w:rPr>
        <w:t>元</w:t>
      </w:r>
      <w:r>
        <w:rPr>
          <w:rFonts w:hint="eastAsia" w:ascii="宋体" w:hAnsi="宋体" w:eastAsia="宋体" w:cs="宋体"/>
          <w:b/>
          <w:bCs/>
          <w:szCs w:val="21"/>
          <w:highlight w:val="none"/>
          <w:u w:val="single"/>
        </w:rPr>
        <w:t xml:space="preserve">      ）</w:t>
      </w:r>
      <w:r>
        <w:rPr>
          <w:rFonts w:hint="eastAsia" w:ascii="宋体" w:hAnsi="宋体" w:eastAsia="宋体" w:cs="宋体"/>
          <w:szCs w:val="21"/>
          <w:highlight w:val="none"/>
        </w:rPr>
        <w:t xml:space="preserve"> </w:t>
      </w:r>
    </w:p>
    <w:p w14:paraId="60ED9515">
      <w:pPr>
        <w:numPr>
          <w:ilvl w:val="1"/>
          <w:numId w:val="19"/>
        </w:numPr>
        <w:tabs>
          <w:tab w:val="left" w:pos="540"/>
          <w:tab w:val="left" w:pos="780"/>
          <w:tab w:val="clear" w:pos="786"/>
        </w:tabs>
        <w:spacing w:line="460" w:lineRule="exact"/>
        <w:rPr>
          <w:rFonts w:ascii="宋体" w:hAnsi="宋体" w:eastAsia="宋体" w:cs="宋体"/>
          <w:szCs w:val="21"/>
          <w:highlight w:val="none"/>
        </w:rPr>
      </w:pPr>
      <w:r>
        <w:rPr>
          <w:rFonts w:hint="eastAsia" w:ascii="宋体" w:hAnsi="宋体" w:eastAsia="宋体" w:cs="宋体"/>
          <w:szCs w:val="21"/>
          <w:highlight w:val="none"/>
        </w:rPr>
        <w:t>服务清单（见附件一）</w:t>
      </w:r>
    </w:p>
    <w:p w14:paraId="157D262A">
      <w:pPr>
        <w:numPr>
          <w:ilvl w:val="1"/>
          <w:numId w:val="19"/>
        </w:numPr>
        <w:tabs>
          <w:tab w:val="left" w:pos="540"/>
          <w:tab w:val="left" w:pos="780"/>
          <w:tab w:val="clear" w:pos="786"/>
        </w:tabs>
        <w:spacing w:line="460" w:lineRule="exact"/>
        <w:rPr>
          <w:rFonts w:ascii="宋体" w:hAnsi="宋体" w:eastAsia="宋体" w:cs="宋体"/>
          <w:szCs w:val="21"/>
          <w:highlight w:val="none"/>
        </w:rPr>
      </w:pPr>
      <w:r>
        <w:rPr>
          <w:rFonts w:hint="eastAsia" w:ascii="宋体" w:hAnsi="宋体" w:eastAsia="宋体" w:cs="宋体"/>
          <w:szCs w:val="21"/>
          <w:highlight w:val="none"/>
        </w:rPr>
        <w:t>服务内容（见附件二）</w:t>
      </w:r>
    </w:p>
    <w:p w14:paraId="7D2DE36F">
      <w:pPr>
        <w:tabs>
          <w:tab w:val="left" w:pos="540"/>
          <w:tab w:val="left" w:pos="780"/>
        </w:tabs>
        <w:spacing w:line="460" w:lineRule="exact"/>
        <w:ind w:left="426"/>
        <w:rPr>
          <w:rFonts w:ascii="宋体" w:hAnsi="宋体" w:eastAsia="宋体" w:cs="宋体"/>
          <w:szCs w:val="21"/>
          <w:highlight w:val="none"/>
        </w:rPr>
      </w:pPr>
      <w:r>
        <w:rPr>
          <w:rFonts w:hint="eastAsia" w:ascii="宋体" w:hAnsi="宋体" w:eastAsia="宋体" w:cs="宋体"/>
          <w:szCs w:val="21"/>
          <w:highlight w:val="none"/>
        </w:rPr>
        <w:t>4、验收报告及验收结论（见附件</w:t>
      </w:r>
      <w:r>
        <w:rPr>
          <w:rFonts w:ascii="宋体" w:hAnsi="宋体" w:eastAsia="宋体" w:cs="宋体"/>
          <w:szCs w:val="21"/>
          <w:highlight w:val="none"/>
        </w:rPr>
        <w:t>三</w:t>
      </w:r>
      <w:r>
        <w:rPr>
          <w:rFonts w:hint="eastAsia" w:ascii="宋体" w:hAnsi="宋体" w:eastAsia="宋体" w:cs="宋体"/>
          <w:szCs w:val="21"/>
          <w:highlight w:val="none"/>
        </w:rPr>
        <w:t>）</w:t>
      </w:r>
    </w:p>
    <w:p w14:paraId="647B12C8">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三、付款方式</w:t>
      </w:r>
    </w:p>
    <w:p w14:paraId="608C6D6D">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1、甲方按照以下付款方式在收到乙方每一笔款项的合法增值税专用发票后</w:t>
      </w:r>
      <w:r>
        <w:rPr>
          <w:rFonts w:hint="eastAsia" w:ascii="宋体" w:hAnsi="宋体" w:eastAsia="宋体" w:cs="宋体"/>
          <w:szCs w:val="21"/>
          <w:highlight w:val="none"/>
          <w:u w:val="single"/>
        </w:rPr>
        <w:t xml:space="preserve"> 30 </w:t>
      </w:r>
      <w:r>
        <w:rPr>
          <w:rFonts w:hint="eastAsia" w:ascii="宋体" w:hAnsi="宋体" w:eastAsia="宋体" w:cs="宋体"/>
          <w:szCs w:val="21"/>
          <w:highlight w:val="none"/>
        </w:rPr>
        <w:t>个工作日内向乙方</w:t>
      </w:r>
      <w:r>
        <w:rPr>
          <w:rFonts w:hint="eastAsia" w:ascii="宋体" w:hAnsi="宋体" w:eastAsia="宋体" w:cs="宋体"/>
          <w:szCs w:val="21"/>
          <w:highlight w:val="none"/>
          <w:u w:val="single"/>
        </w:rPr>
        <w:t xml:space="preserve"> 转账 </w:t>
      </w:r>
      <w:r>
        <w:rPr>
          <w:rFonts w:hint="eastAsia" w:ascii="宋体" w:hAnsi="宋体" w:eastAsia="宋体" w:cs="宋体"/>
          <w:szCs w:val="21"/>
          <w:highlight w:val="none"/>
        </w:rPr>
        <w:t>支付相应金额款项。</w:t>
      </w:r>
    </w:p>
    <w:p w14:paraId="064EE896">
      <w:pPr>
        <w:tabs>
          <w:tab w:val="left" w:pos="540"/>
        </w:tabs>
        <w:spacing w:line="460" w:lineRule="exact"/>
        <w:ind w:left="420" w:leftChars="200"/>
        <w:rPr>
          <w:rFonts w:ascii="宋体" w:hAnsi="宋体" w:eastAsia="宋体" w:cs="宋体"/>
          <w:szCs w:val="21"/>
          <w:highlight w:val="none"/>
        </w:rPr>
      </w:pPr>
      <w:r>
        <w:rPr>
          <w:rFonts w:hint="eastAsia" w:ascii="宋体" w:hAnsi="宋体" w:eastAsia="宋体" w:cs="宋体"/>
          <w:szCs w:val="21"/>
          <w:highlight w:val="none"/>
        </w:rPr>
        <w:t>2、付款方式：</w:t>
      </w:r>
    </w:p>
    <w:p w14:paraId="1C3D6AE2">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甲方</w:t>
      </w:r>
      <w:r>
        <w:rPr>
          <w:rFonts w:ascii="宋体" w:hAnsi="宋体" w:eastAsia="宋体" w:cs="宋体"/>
          <w:szCs w:val="21"/>
          <w:highlight w:val="none"/>
        </w:rPr>
        <w:t>按季度向乙方支付翻译</w:t>
      </w:r>
      <w:r>
        <w:rPr>
          <w:rFonts w:hint="eastAsia" w:ascii="宋体" w:hAnsi="宋体" w:eastAsia="宋体" w:cs="宋体"/>
          <w:szCs w:val="21"/>
          <w:highlight w:val="none"/>
        </w:rPr>
        <w:t>费用</w:t>
      </w:r>
      <w:r>
        <w:rPr>
          <w:rFonts w:ascii="宋体" w:hAnsi="宋体" w:eastAsia="宋体" w:cs="宋体"/>
          <w:szCs w:val="21"/>
          <w:highlight w:val="none"/>
        </w:rPr>
        <w:t>。乙方</w:t>
      </w:r>
      <w:r>
        <w:rPr>
          <w:rFonts w:hint="eastAsia" w:ascii="宋体" w:hAnsi="宋体" w:eastAsia="宋体" w:cs="宋体"/>
          <w:szCs w:val="21"/>
          <w:highlight w:val="none"/>
        </w:rPr>
        <w:t>应在每季度</w:t>
      </w:r>
      <w:r>
        <w:rPr>
          <w:rFonts w:ascii="宋体" w:hAnsi="宋体" w:eastAsia="宋体" w:cs="宋体"/>
          <w:szCs w:val="21"/>
          <w:highlight w:val="none"/>
        </w:rPr>
        <w:t>结束后</w:t>
      </w:r>
      <w:r>
        <w:rPr>
          <w:rFonts w:hint="eastAsia" w:ascii="宋体" w:hAnsi="宋体" w:eastAsia="宋体" w:cs="宋体"/>
          <w:szCs w:val="21"/>
          <w:highlight w:val="none"/>
        </w:rPr>
        <w:t>向甲方</w:t>
      </w:r>
      <w:r>
        <w:rPr>
          <w:rFonts w:ascii="宋体" w:hAnsi="宋体" w:eastAsia="宋体" w:cs="宋体"/>
          <w:szCs w:val="21"/>
          <w:highlight w:val="none"/>
        </w:rPr>
        <w:t>提供翻译结算单，列明</w:t>
      </w:r>
      <w:r>
        <w:rPr>
          <w:rFonts w:hint="eastAsia" w:ascii="宋体" w:hAnsi="宋体" w:eastAsia="宋体" w:cs="宋体"/>
          <w:szCs w:val="21"/>
          <w:highlight w:val="none"/>
        </w:rPr>
        <w:t>该季度内甲方委托</w:t>
      </w:r>
      <w:r>
        <w:rPr>
          <w:rFonts w:ascii="宋体" w:hAnsi="宋体" w:eastAsia="宋体" w:cs="宋体"/>
          <w:szCs w:val="21"/>
          <w:highlight w:val="none"/>
        </w:rPr>
        <w:t>翻译</w:t>
      </w:r>
      <w:r>
        <w:rPr>
          <w:rFonts w:hint="eastAsia" w:ascii="宋体" w:hAnsi="宋体" w:eastAsia="宋体" w:cs="宋体"/>
          <w:szCs w:val="21"/>
          <w:highlight w:val="none"/>
        </w:rPr>
        <w:t>的所有稿件的文件名、对应字数、单价及总价等信息，经甲方验收通过后</w:t>
      </w:r>
      <w:r>
        <w:rPr>
          <w:rFonts w:ascii="宋体" w:hAnsi="宋体" w:eastAsia="宋体" w:cs="宋体"/>
          <w:szCs w:val="21"/>
          <w:highlight w:val="none"/>
        </w:rPr>
        <w:t>，</w:t>
      </w:r>
      <w:r>
        <w:rPr>
          <w:rFonts w:hint="eastAsia" w:ascii="宋体" w:hAnsi="宋体" w:eastAsia="宋体" w:cs="宋体"/>
          <w:szCs w:val="21"/>
          <w:highlight w:val="none"/>
        </w:rPr>
        <w:t>向乙方支付相应费用</w:t>
      </w:r>
      <w:r>
        <w:rPr>
          <w:rFonts w:ascii="宋体" w:hAnsi="宋体" w:eastAsia="宋体" w:cs="宋体"/>
          <w:szCs w:val="21"/>
          <w:highlight w:val="none"/>
        </w:rPr>
        <w:t>。</w:t>
      </w:r>
    </w:p>
    <w:p w14:paraId="7B3A0FE7">
      <w:pPr>
        <w:tabs>
          <w:tab w:val="left" w:pos="540"/>
        </w:tabs>
        <w:spacing w:line="460" w:lineRule="exact"/>
        <w:ind w:firstLine="420" w:firstLineChars="200"/>
        <w:rPr>
          <w:rFonts w:ascii="宋体" w:hAnsi="宋体" w:eastAsia="宋体" w:cs="宋体"/>
          <w:b/>
          <w:bCs/>
          <w:szCs w:val="21"/>
          <w:highlight w:val="none"/>
        </w:rPr>
      </w:pPr>
      <w:r>
        <w:rPr>
          <w:rFonts w:hint="eastAsia" w:ascii="宋体" w:hAnsi="宋体" w:eastAsia="宋体" w:cs="宋体"/>
          <w:b/>
          <w:bCs/>
          <w:szCs w:val="21"/>
          <w:highlight w:val="none"/>
        </w:rPr>
        <w:t>甲方账户信息：</w:t>
      </w:r>
    </w:p>
    <w:p w14:paraId="7D810CC5">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单位名称：</w:t>
      </w:r>
    </w:p>
    <w:p w14:paraId="5AD3EB82">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开户银行：</w:t>
      </w:r>
    </w:p>
    <w:p w14:paraId="0EFEC381">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账号：</w:t>
      </w:r>
    </w:p>
    <w:p w14:paraId="5E9EE734">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税号：</w:t>
      </w:r>
    </w:p>
    <w:p w14:paraId="1118B0B4">
      <w:pPr>
        <w:tabs>
          <w:tab w:val="left" w:pos="540"/>
        </w:tabs>
        <w:spacing w:line="460" w:lineRule="exact"/>
        <w:ind w:firstLine="420" w:firstLineChars="200"/>
        <w:rPr>
          <w:rFonts w:ascii="宋体" w:hAnsi="宋体" w:eastAsia="宋体" w:cs="宋体"/>
          <w:b/>
          <w:bCs/>
          <w:szCs w:val="21"/>
          <w:highlight w:val="none"/>
        </w:rPr>
      </w:pPr>
      <w:r>
        <w:rPr>
          <w:rFonts w:hint="eastAsia" w:ascii="宋体" w:hAnsi="宋体" w:eastAsia="宋体" w:cs="宋体"/>
          <w:b/>
          <w:bCs/>
          <w:szCs w:val="21"/>
          <w:highlight w:val="none"/>
        </w:rPr>
        <w:t>乙方收款信息：</w:t>
      </w:r>
    </w:p>
    <w:p w14:paraId="7B3F91B3">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 xml:space="preserve">单位名称： </w:t>
      </w:r>
    </w:p>
    <w:p w14:paraId="50C57597">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 xml:space="preserve">开户银行： </w:t>
      </w:r>
    </w:p>
    <w:p w14:paraId="423CFB8B">
      <w:pPr>
        <w:tabs>
          <w:tab w:val="left" w:pos="540"/>
        </w:tabs>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开户账号：</w:t>
      </w:r>
    </w:p>
    <w:p w14:paraId="388AED98">
      <w:pPr>
        <w:spacing w:line="44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44C9C1DA">
      <w:pPr>
        <w:tabs>
          <w:tab w:val="left" w:pos="3510"/>
        </w:tabs>
        <w:spacing w:before="100" w:beforeAutospacing="1" w:after="100" w:afterAutospacing="1" w:line="460" w:lineRule="exact"/>
        <w:outlineLvl w:val="0"/>
        <w:rPr>
          <w:rFonts w:ascii="宋体" w:hAnsi="宋体" w:eastAsia="宋体" w:cs="宋体"/>
          <w:b/>
          <w:bCs/>
          <w:szCs w:val="21"/>
          <w:highlight w:val="none"/>
        </w:rPr>
      </w:pPr>
      <w:r>
        <w:rPr>
          <w:rFonts w:hint="eastAsia" w:ascii="宋体" w:hAnsi="宋体" w:eastAsia="宋体" w:cs="宋体"/>
          <w:b/>
          <w:bCs/>
          <w:szCs w:val="21"/>
          <w:highlight w:val="none"/>
        </w:rPr>
        <w:t>四、双方的义务：</w:t>
      </w:r>
    </w:p>
    <w:p w14:paraId="0B1E95AD">
      <w:pPr>
        <w:tabs>
          <w:tab w:val="left" w:pos="3510"/>
        </w:tabs>
        <w:spacing w:before="100" w:beforeAutospacing="1" w:after="100" w:afterAutospacing="1" w:line="460" w:lineRule="exact"/>
        <w:ind w:left="720" w:hanging="720"/>
        <w:outlineLvl w:val="0"/>
        <w:rPr>
          <w:rFonts w:ascii="宋体" w:hAnsi="宋体" w:eastAsia="宋体" w:cs="宋体"/>
          <w:szCs w:val="21"/>
          <w:highlight w:val="none"/>
        </w:rPr>
      </w:pPr>
      <w:r>
        <w:rPr>
          <w:rFonts w:hint="eastAsia" w:ascii="宋体" w:hAnsi="宋体" w:eastAsia="宋体" w:cs="宋体"/>
          <w:szCs w:val="21"/>
          <w:highlight w:val="none"/>
        </w:rPr>
        <w:t>甲方的义务：</w:t>
      </w:r>
    </w:p>
    <w:p w14:paraId="2F60BA48">
      <w:pPr>
        <w:numPr>
          <w:ilvl w:val="0"/>
          <w:numId w:val="20"/>
        </w:numPr>
        <w:tabs>
          <w:tab w:val="left" w:pos="3510"/>
        </w:tabs>
        <w:spacing w:before="100" w:beforeAutospacing="1" w:after="100" w:afterAutospacing="1" w:line="460" w:lineRule="exact"/>
        <w:jc w:val="left"/>
        <w:outlineLvl w:val="0"/>
        <w:rPr>
          <w:rFonts w:ascii="宋体" w:hAnsi="宋体" w:eastAsia="宋体" w:cs="宋体"/>
          <w:szCs w:val="21"/>
          <w:highlight w:val="none"/>
        </w:rPr>
      </w:pPr>
      <w:r>
        <w:rPr>
          <w:rFonts w:ascii="宋体" w:hAnsi="宋体" w:eastAsia="宋体" w:cs="宋体"/>
          <w:szCs w:val="21"/>
          <w:highlight w:val="none"/>
        </w:rPr>
        <w:t xml:space="preserve"> 甲方同意把原稿电子版提供给乙方供翻译，并保证提供的待译文档图文清晰、内容完整，乙方应保证维持甲方提供资料的原始完整性。乙方在翻译过程中发现甲方提供的原文明显存在遗漏或者相关内容不完整时，应及时提交给甲方，由甲方负责及时补充。</w:t>
      </w:r>
    </w:p>
    <w:p w14:paraId="2CD72AFB">
      <w:pPr>
        <w:numPr>
          <w:ilvl w:val="0"/>
          <w:numId w:val="20"/>
        </w:numPr>
        <w:tabs>
          <w:tab w:val="left" w:pos="3510"/>
        </w:tabs>
        <w:spacing w:before="100" w:beforeAutospacing="1" w:after="100" w:afterAutospacing="1" w:line="460" w:lineRule="exact"/>
        <w:jc w:val="left"/>
        <w:outlineLvl w:val="0"/>
        <w:rPr>
          <w:rFonts w:ascii="宋体" w:hAnsi="宋体" w:eastAsia="宋体" w:cs="宋体"/>
          <w:szCs w:val="21"/>
          <w:highlight w:val="none"/>
        </w:rPr>
      </w:pPr>
      <w:r>
        <w:rPr>
          <w:rFonts w:ascii="宋体" w:hAnsi="宋体" w:eastAsia="宋体" w:cs="宋体"/>
          <w:szCs w:val="21"/>
          <w:highlight w:val="none"/>
        </w:rPr>
        <w:t xml:space="preserve"> 为乙方开展工作安排必要的知情联络人，该项协助义务以必要和有限为原则。</w:t>
      </w:r>
    </w:p>
    <w:p w14:paraId="5598BC52">
      <w:pPr>
        <w:numPr>
          <w:ilvl w:val="0"/>
          <w:numId w:val="20"/>
        </w:numPr>
        <w:tabs>
          <w:tab w:val="left" w:pos="3510"/>
        </w:tabs>
        <w:spacing w:before="100" w:beforeAutospacing="1" w:after="100" w:afterAutospacing="1" w:line="460" w:lineRule="exact"/>
        <w:jc w:val="left"/>
        <w:outlineLvl w:val="0"/>
        <w:rPr>
          <w:rFonts w:ascii="宋体" w:hAnsi="宋体" w:eastAsia="宋体" w:cs="宋体"/>
          <w:szCs w:val="21"/>
          <w:highlight w:val="none"/>
        </w:rPr>
      </w:pPr>
      <w:r>
        <w:rPr>
          <w:rFonts w:ascii="宋体" w:hAnsi="宋体" w:eastAsia="宋体" w:cs="宋体"/>
          <w:szCs w:val="21"/>
          <w:highlight w:val="none"/>
        </w:rPr>
        <w:t xml:space="preserve"> 其它按照本合同应当由甲方完成或协助完成的工作。</w:t>
      </w:r>
    </w:p>
    <w:p w14:paraId="5F7D6729">
      <w:pPr>
        <w:tabs>
          <w:tab w:val="left" w:pos="3510"/>
        </w:tabs>
        <w:spacing w:before="100" w:beforeAutospacing="1" w:after="100" w:afterAutospacing="1" w:line="460" w:lineRule="exact"/>
        <w:ind w:left="720" w:hanging="720"/>
        <w:outlineLvl w:val="0"/>
        <w:rPr>
          <w:rFonts w:ascii="宋体" w:hAnsi="宋体" w:eastAsia="宋体" w:cs="宋体"/>
          <w:szCs w:val="21"/>
          <w:highlight w:val="none"/>
        </w:rPr>
      </w:pPr>
      <w:r>
        <w:rPr>
          <w:rFonts w:hint="eastAsia" w:ascii="宋体" w:hAnsi="宋体" w:eastAsia="宋体" w:cs="宋体"/>
          <w:szCs w:val="21"/>
          <w:highlight w:val="none"/>
        </w:rPr>
        <w:t>乙方的义务：</w:t>
      </w:r>
    </w:p>
    <w:p w14:paraId="68EB73C6">
      <w:pPr>
        <w:keepNext w:val="0"/>
        <w:keepLines w:val="0"/>
        <w:pageBreakBefore w:val="0"/>
        <w:widowControl w:val="0"/>
        <w:numPr>
          <w:ilvl w:val="0"/>
          <w:numId w:val="21"/>
        </w:numPr>
        <w:kinsoku/>
        <w:wordWrap/>
        <w:overflowPunct/>
        <w:topLinePunct w:val="0"/>
        <w:autoSpaceDE/>
        <w:autoSpaceDN/>
        <w:bidi w:val="0"/>
        <w:adjustRightInd/>
        <w:spacing w:line="360" w:lineRule="auto"/>
        <w:textAlignment w:val="auto"/>
        <w:rPr>
          <w:rFonts w:ascii="宋体" w:hAnsi="宋体" w:eastAsia="宋体" w:cs="宋体"/>
          <w:szCs w:val="21"/>
          <w:highlight w:val="none"/>
        </w:rPr>
      </w:pPr>
      <w:r>
        <w:rPr>
          <w:rFonts w:hint="eastAsia" w:ascii="宋体" w:hAnsi="宋体" w:eastAsia="宋体" w:cs="宋体"/>
          <w:szCs w:val="21"/>
          <w:highlight w:val="none"/>
        </w:rPr>
        <w:t>乙方应确保按照合同内容向甲方提供服务并保证服务质量。</w:t>
      </w:r>
    </w:p>
    <w:p w14:paraId="2BC551A4">
      <w:pPr>
        <w:keepNext w:val="0"/>
        <w:keepLines w:val="0"/>
        <w:pageBreakBefore w:val="0"/>
        <w:widowControl w:val="0"/>
        <w:numPr>
          <w:ilvl w:val="0"/>
          <w:numId w:val="21"/>
        </w:numPr>
        <w:kinsoku/>
        <w:wordWrap/>
        <w:overflowPunct/>
        <w:topLinePunct w:val="0"/>
        <w:autoSpaceDE/>
        <w:autoSpaceDN/>
        <w:bidi w:val="0"/>
        <w:adjustRightInd/>
        <w:spacing w:line="360" w:lineRule="auto"/>
        <w:ind w:left="539" w:leftChars="-1" w:hanging="541" w:hangingChars="258"/>
        <w:textAlignment w:val="auto"/>
        <w:rPr>
          <w:rFonts w:ascii="宋体" w:hAnsi="宋体" w:eastAsia="宋体" w:cs="宋体"/>
          <w:szCs w:val="21"/>
          <w:highlight w:val="none"/>
        </w:rPr>
      </w:pPr>
      <w:r>
        <w:rPr>
          <w:rFonts w:hint="eastAsia" w:ascii="宋体" w:hAnsi="宋体" w:eastAsia="宋体" w:cs="宋体"/>
          <w:szCs w:val="21"/>
          <w:highlight w:val="none"/>
        </w:rPr>
        <w:t>乙方承诺其拥有履行本合同项下义务所需的资质，并且，其指派的乙方人员均拥有相应资格且具丰富翻译经验。</w:t>
      </w:r>
    </w:p>
    <w:p w14:paraId="4BD9CAD5">
      <w:pPr>
        <w:keepNext w:val="0"/>
        <w:keepLines w:val="0"/>
        <w:pageBreakBefore w:val="0"/>
        <w:widowControl w:val="0"/>
        <w:numPr>
          <w:ilvl w:val="0"/>
          <w:numId w:val="21"/>
        </w:numPr>
        <w:kinsoku/>
        <w:wordWrap/>
        <w:overflowPunct/>
        <w:topLinePunct w:val="0"/>
        <w:autoSpaceDE/>
        <w:autoSpaceDN/>
        <w:bidi w:val="0"/>
        <w:adjustRightInd/>
        <w:spacing w:line="360" w:lineRule="auto"/>
        <w:ind w:left="539" w:leftChars="-1" w:hanging="541" w:hangingChars="258"/>
        <w:textAlignment w:val="auto"/>
        <w:rPr>
          <w:rFonts w:ascii="宋体" w:hAnsi="宋体" w:eastAsia="宋体" w:cs="宋体"/>
          <w:szCs w:val="21"/>
          <w:highlight w:val="none"/>
        </w:rPr>
      </w:pPr>
      <w:r>
        <w:rPr>
          <w:rFonts w:hint="eastAsia" w:ascii="宋体" w:hAnsi="宋体" w:eastAsia="宋体" w:cs="宋体"/>
          <w:szCs w:val="21"/>
          <w:highlight w:val="none"/>
        </w:rPr>
        <w:t>乙方在向甲方交付工作成果后，若存在以下三类错误，乙方应免费在甲方要求的时限内完成对工作成果的必要修改，并不得另行收费：</w:t>
      </w:r>
    </w:p>
    <w:p w14:paraId="7D472770">
      <w:pPr>
        <w:keepNext w:val="0"/>
        <w:keepLines w:val="0"/>
        <w:pageBreakBefore w:val="0"/>
        <w:widowControl w:val="0"/>
        <w:tabs>
          <w:tab w:val="left" w:pos="1418"/>
        </w:tabs>
        <w:kinsoku/>
        <w:wordWrap/>
        <w:overflowPunct/>
        <w:topLinePunct w:val="0"/>
        <w:autoSpaceDE/>
        <w:autoSpaceDN/>
        <w:bidi w:val="0"/>
        <w:adjustRightInd/>
        <w:snapToGrid w:val="0"/>
        <w:spacing w:line="360" w:lineRule="auto"/>
        <w:ind w:left="565"/>
        <w:textAlignment w:val="auto"/>
        <w:rPr>
          <w:rFonts w:ascii="宋体" w:hAnsi="宋体" w:eastAsia="宋体" w:cs="宋体"/>
          <w:spacing w:val="-2"/>
          <w:kern w:val="0"/>
          <w:szCs w:val="21"/>
          <w:highlight w:val="none"/>
        </w:rPr>
      </w:pPr>
      <w:r>
        <w:rPr>
          <w:rFonts w:hint="eastAsia" w:ascii="宋体" w:hAnsi="宋体" w:eastAsia="宋体" w:cs="宋体"/>
          <w:spacing w:val="-2"/>
          <w:kern w:val="0"/>
          <w:szCs w:val="21"/>
          <w:highlight w:val="none"/>
        </w:rPr>
        <w:t>（1）语法错误或者拼写错误；</w:t>
      </w:r>
    </w:p>
    <w:p w14:paraId="2DC100A1">
      <w:pPr>
        <w:keepNext w:val="0"/>
        <w:keepLines w:val="0"/>
        <w:pageBreakBefore w:val="0"/>
        <w:widowControl w:val="0"/>
        <w:kinsoku/>
        <w:wordWrap/>
        <w:overflowPunct/>
        <w:topLinePunct w:val="0"/>
        <w:autoSpaceDE/>
        <w:autoSpaceDN/>
        <w:bidi w:val="0"/>
        <w:adjustRightInd/>
        <w:snapToGrid w:val="0"/>
        <w:spacing w:line="360" w:lineRule="auto"/>
        <w:ind w:left="565"/>
        <w:textAlignment w:val="auto"/>
        <w:rPr>
          <w:rFonts w:ascii="宋体" w:hAnsi="宋体" w:eastAsia="宋体" w:cs="宋体"/>
          <w:spacing w:val="-2"/>
          <w:kern w:val="0"/>
          <w:szCs w:val="21"/>
          <w:highlight w:val="none"/>
        </w:rPr>
      </w:pPr>
      <w:r>
        <w:rPr>
          <w:rFonts w:hint="eastAsia" w:ascii="宋体" w:hAnsi="宋体" w:eastAsia="宋体" w:cs="宋体"/>
          <w:spacing w:val="-2"/>
          <w:kern w:val="0"/>
          <w:szCs w:val="21"/>
          <w:highlight w:val="none"/>
        </w:rPr>
        <w:t>（2）同一或同批稿件中前后用词或表达法不统一；</w:t>
      </w:r>
    </w:p>
    <w:p w14:paraId="6041ED96">
      <w:pPr>
        <w:keepNext w:val="0"/>
        <w:keepLines w:val="0"/>
        <w:pageBreakBefore w:val="0"/>
        <w:widowControl w:val="0"/>
        <w:kinsoku/>
        <w:wordWrap/>
        <w:overflowPunct/>
        <w:topLinePunct w:val="0"/>
        <w:autoSpaceDE/>
        <w:autoSpaceDN/>
        <w:bidi w:val="0"/>
        <w:adjustRightInd/>
        <w:snapToGrid w:val="0"/>
        <w:spacing w:line="360" w:lineRule="auto"/>
        <w:ind w:left="565"/>
        <w:textAlignment w:val="auto"/>
        <w:rPr>
          <w:rFonts w:ascii="宋体" w:hAnsi="宋体" w:eastAsia="宋体" w:cs="宋体"/>
          <w:spacing w:val="-2"/>
          <w:kern w:val="0"/>
          <w:szCs w:val="21"/>
          <w:highlight w:val="none"/>
        </w:rPr>
      </w:pPr>
      <w:r>
        <w:rPr>
          <w:rFonts w:hint="eastAsia" w:ascii="宋体" w:hAnsi="宋体" w:eastAsia="宋体" w:cs="宋体"/>
          <w:spacing w:val="-2"/>
          <w:kern w:val="0"/>
          <w:szCs w:val="21"/>
          <w:highlight w:val="none"/>
        </w:rPr>
        <w:t>（3）由于专业或背景知识不足发生的错误。</w:t>
      </w:r>
    </w:p>
    <w:p w14:paraId="5C44902C">
      <w:pPr>
        <w:keepNext w:val="0"/>
        <w:keepLines w:val="0"/>
        <w:pageBreakBefore w:val="0"/>
        <w:widowControl w:val="0"/>
        <w:tabs>
          <w:tab w:val="left" w:pos="1418"/>
        </w:tabs>
        <w:kinsoku/>
        <w:wordWrap/>
        <w:overflowPunct/>
        <w:topLinePunct w:val="0"/>
        <w:autoSpaceDE/>
        <w:autoSpaceDN/>
        <w:bidi w:val="0"/>
        <w:adjustRightInd/>
        <w:snapToGrid w:val="0"/>
        <w:spacing w:line="360" w:lineRule="auto"/>
        <w:textAlignment w:val="auto"/>
        <w:rPr>
          <w:rFonts w:ascii="宋体" w:hAnsi="宋体" w:eastAsia="宋体" w:cs="宋体"/>
          <w:spacing w:val="-2"/>
          <w:kern w:val="0"/>
          <w:szCs w:val="21"/>
          <w:highlight w:val="none"/>
        </w:rPr>
      </w:pPr>
      <w:r>
        <w:rPr>
          <w:rFonts w:hint="eastAsia" w:ascii="宋体" w:hAnsi="宋体" w:eastAsia="宋体" w:cs="宋体"/>
          <w:spacing w:val="-2"/>
          <w:kern w:val="0"/>
          <w:szCs w:val="21"/>
          <w:highlight w:val="none"/>
        </w:rPr>
        <w:t>4、乙方在翻译过程中，对翻译质量要求或其他事项存在疑问的，应当及时与甲方沟通，协商解决。</w:t>
      </w:r>
    </w:p>
    <w:p w14:paraId="4D5BCB6A">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eastAsia="宋体" w:cs="宋体"/>
          <w:szCs w:val="21"/>
          <w:highlight w:val="none"/>
        </w:rPr>
      </w:pPr>
      <w:r>
        <w:rPr>
          <w:rFonts w:hint="eastAsia" w:ascii="宋体" w:hAnsi="宋体" w:eastAsia="宋体" w:cs="宋体"/>
          <w:szCs w:val="21"/>
          <w:highlight w:val="none"/>
        </w:rPr>
        <w:t>5、乙方履行本合同项下的义务产生的著作权及相关衍生权利均归甲方所有。</w:t>
      </w:r>
    </w:p>
    <w:p w14:paraId="55977CC5">
      <w:pPr>
        <w:keepNext w:val="0"/>
        <w:keepLines w:val="0"/>
        <w:pageBreakBefore w:val="0"/>
        <w:widowControl w:val="0"/>
        <w:kinsoku/>
        <w:wordWrap/>
        <w:overflowPunct/>
        <w:topLinePunct w:val="0"/>
        <w:autoSpaceDE/>
        <w:autoSpaceDN/>
        <w:bidi w:val="0"/>
        <w:adjustRightInd/>
        <w:spacing w:line="360" w:lineRule="auto"/>
        <w:ind w:left="271" w:hanging="270" w:hangingChars="129"/>
        <w:textAlignment w:val="auto"/>
        <w:rPr>
          <w:rFonts w:ascii="宋体" w:hAnsi="宋体" w:eastAsia="宋体" w:cs="宋体"/>
          <w:szCs w:val="21"/>
          <w:highlight w:val="none"/>
        </w:rPr>
      </w:pPr>
      <w:r>
        <w:rPr>
          <w:rFonts w:hint="eastAsia" w:ascii="宋体" w:hAnsi="宋体" w:eastAsia="宋体" w:cs="宋体"/>
          <w:szCs w:val="21"/>
          <w:highlight w:val="none"/>
        </w:rPr>
        <w:t>6、乙方应独立完成本合同项下的义务，并须采取严密的防范措施防止稿件相关信息的泄露。不得将本合同项下的义务全部或部分转交第三方完成。</w:t>
      </w:r>
    </w:p>
    <w:p w14:paraId="2F9A748C">
      <w:pPr>
        <w:keepNext w:val="0"/>
        <w:keepLines w:val="0"/>
        <w:pageBreakBefore w:val="0"/>
        <w:widowControl w:val="0"/>
        <w:tabs>
          <w:tab w:val="left" w:pos="3510"/>
        </w:tabs>
        <w:kinsoku/>
        <w:wordWrap/>
        <w:overflowPunct/>
        <w:topLinePunct w:val="0"/>
        <w:autoSpaceDE/>
        <w:autoSpaceDN/>
        <w:bidi w:val="0"/>
        <w:adjustRightInd/>
        <w:spacing w:line="360" w:lineRule="auto"/>
        <w:textAlignment w:val="auto"/>
        <w:outlineLvl w:val="0"/>
        <w:rPr>
          <w:rFonts w:ascii="宋体" w:hAnsi="宋体" w:eastAsia="宋体" w:cs="宋体"/>
          <w:b/>
          <w:bCs/>
          <w:szCs w:val="21"/>
          <w:highlight w:val="none"/>
        </w:rPr>
      </w:pPr>
      <w:r>
        <w:rPr>
          <w:rFonts w:ascii="宋体" w:hAnsi="宋体" w:eastAsia="宋体" w:cs="宋体"/>
          <w:szCs w:val="21"/>
          <w:highlight w:val="none"/>
        </w:rPr>
        <w:t>7、其它按照本合同应当由乙方完成或协助完成的工作。</w:t>
      </w:r>
    </w:p>
    <w:p w14:paraId="5375F6AD">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五、违约责任</w:t>
      </w:r>
    </w:p>
    <w:p w14:paraId="6F852030">
      <w:pPr>
        <w:tabs>
          <w:tab w:val="left" w:pos="3510"/>
        </w:tabs>
        <w:spacing w:before="100" w:beforeAutospacing="1" w:after="100" w:afterAutospacing="1" w:line="460" w:lineRule="exact"/>
        <w:ind w:left="720" w:hanging="720"/>
        <w:outlineLvl w:val="0"/>
        <w:rPr>
          <w:rFonts w:ascii="宋体" w:hAnsi="宋体" w:eastAsia="宋体" w:cs="宋体"/>
          <w:szCs w:val="21"/>
          <w:highlight w:val="none"/>
        </w:rPr>
      </w:pPr>
      <w:r>
        <w:rPr>
          <w:rFonts w:hint="eastAsia" w:ascii="宋体" w:hAnsi="宋体" w:eastAsia="宋体" w:cs="宋体"/>
          <w:szCs w:val="21"/>
          <w:highlight w:val="none"/>
        </w:rPr>
        <w:t>1、乙方违约责任：</w:t>
      </w:r>
    </w:p>
    <w:p w14:paraId="6130CD5E">
      <w:pPr>
        <w:tabs>
          <w:tab w:val="left" w:pos="3510"/>
        </w:tabs>
        <w:spacing w:line="360" w:lineRule="auto"/>
        <w:outlineLvl w:val="0"/>
        <w:rPr>
          <w:rFonts w:ascii="宋体" w:hAnsi="宋体" w:eastAsia="宋体" w:cs="宋体"/>
          <w:szCs w:val="21"/>
          <w:highlight w:val="none"/>
        </w:rPr>
      </w:pPr>
      <w:r>
        <w:rPr>
          <w:rFonts w:hint="eastAsia" w:ascii="宋体" w:hAnsi="宋体" w:eastAsia="宋体" w:cs="宋体"/>
          <w:szCs w:val="21"/>
          <w:highlight w:val="none"/>
        </w:rPr>
        <w:t>（1）</w:t>
      </w:r>
      <w:r>
        <w:rPr>
          <w:rFonts w:hint="eastAsia" w:ascii="Times New Roman" w:hAnsi="Times New Roman" w:eastAsia="宋体" w:cs="Times New Roman"/>
          <w:sz w:val="22"/>
          <w:highlight w:val="none"/>
        </w:rPr>
        <w:t>乙方未能在工作期限内完成翻译项目，或虽己完成翻译项目，但需要重新修改但</w:t>
      </w:r>
      <w:r>
        <w:rPr>
          <w:rFonts w:hint="eastAsia" w:ascii="宋体" w:hAnsi="宋体" w:eastAsia="宋体" w:cs="宋体"/>
          <w:szCs w:val="21"/>
          <w:highlight w:val="none"/>
        </w:rPr>
        <w:t>在</w:t>
      </w:r>
      <w:r>
        <w:rPr>
          <w:rFonts w:hint="eastAsia" w:ascii="宋体" w:hAnsi="宋体" w:eastAsia="宋体" w:cs="宋体"/>
          <w:szCs w:val="21"/>
          <w:highlight w:val="none"/>
          <w:u w:val="single"/>
        </w:rPr>
        <w:t xml:space="preserve"> 3 </w:t>
      </w:r>
      <w:r>
        <w:rPr>
          <w:rFonts w:hint="eastAsia" w:ascii="宋体" w:hAnsi="宋体" w:eastAsia="宋体" w:cs="宋体"/>
          <w:szCs w:val="21"/>
          <w:highlight w:val="none"/>
        </w:rPr>
        <w:t>个工作日未完成修改</w:t>
      </w:r>
      <w:r>
        <w:rPr>
          <w:rFonts w:hint="eastAsia" w:ascii="Times New Roman" w:hAnsi="Times New Roman" w:eastAsia="宋体" w:cs="Times New Roman"/>
          <w:sz w:val="22"/>
          <w:highlight w:val="none"/>
        </w:rPr>
        <w:t>而导致延期交稿</w:t>
      </w:r>
      <w:r>
        <w:rPr>
          <w:rFonts w:hint="eastAsia" w:ascii="宋体" w:hAnsi="宋体" w:eastAsia="宋体" w:cs="宋体"/>
          <w:szCs w:val="21"/>
          <w:highlight w:val="none"/>
        </w:rPr>
        <w:t>且无法令甲方满意</w:t>
      </w:r>
      <w:r>
        <w:rPr>
          <w:rFonts w:hint="eastAsia" w:ascii="Times New Roman" w:hAnsi="Times New Roman" w:eastAsia="宋体" w:cs="Times New Roman"/>
          <w:sz w:val="22"/>
          <w:highlight w:val="none"/>
        </w:rPr>
        <w:t>的，每迟延一日应向甲方支付违约金</w:t>
      </w:r>
      <w:r>
        <w:rPr>
          <w:rFonts w:hint="eastAsia" w:ascii="宋体" w:hAnsi="宋体" w:eastAsia="宋体" w:cs="宋体"/>
          <w:szCs w:val="21"/>
          <w:highlight w:val="none"/>
        </w:rPr>
        <w:t>500元</w:t>
      </w:r>
      <w:r>
        <w:rPr>
          <w:rFonts w:hint="eastAsia" w:ascii="Times New Roman" w:hAnsi="Times New Roman" w:eastAsia="宋体" w:cs="Times New Roman"/>
          <w:sz w:val="22"/>
          <w:highlight w:val="none"/>
        </w:rPr>
        <w:t>。乙方逾期15个日历日交稿或者交付的稿件无法令甲方满意的，甲方有权解除本合同；</w:t>
      </w:r>
      <w:r>
        <w:rPr>
          <w:rFonts w:hint="eastAsia" w:ascii="宋体" w:hAnsi="宋体" w:eastAsia="宋体" w:cs="宋体"/>
          <w:szCs w:val="21"/>
          <w:highlight w:val="none"/>
        </w:rPr>
        <w:t>乙方须另向甲方支付违约金，该违约金额为合同总金额的30%（该数额已包含前述按次计取的违约金），由此给甲方造成其他损失的，乙方应承担赔偿责任。</w:t>
      </w:r>
    </w:p>
    <w:p w14:paraId="284379C6">
      <w:pPr>
        <w:tabs>
          <w:tab w:val="left" w:pos="3510"/>
        </w:tabs>
        <w:spacing w:line="360" w:lineRule="auto"/>
        <w:outlineLvl w:val="0"/>
        <w:rPr>
          <w:rFonts w:ascii="宋体" w:hAnsi="宋体" w:eastAsia="宋体" w:cs="宋体"/>
          <w:szCs w:val="21"/>
          <w:highlight w:val="none"/>
        </w:rPr>
      </w:pPr>
      <w:r>
        <w:rPr>
          <w:rFonts w:hint="eastAsia" w:ascii="宋体" w:hAnsi="宋体" w:eastAsia="宋体" w:cs="宋体"/>
          <w:szCs w:val="21"/>
          <w:highlight w:val="none"/>
        </w:rPr>
        <w:t>（2）乙方所提供的服务不满足甲方对服务的需求，若甲方同意接受则双方可重新协商合同价款；如果甲方不同意接受，则按照本条第（1）项约定执行合同。</w:t>
      </w:r>
    </w:p>
    <w:p w14:paraId="3FA3669D">
      <w:pPr>
        <w:tabs>
          <w:tab w:val="left" w:pos="3510"/>
        </w:tabs>
        <w:spacing w:line="360" w:lineRule="auto"/>
        <w:outlineLvl w:val="0"/>
        <w:rPr>
          <w:rFonts w:ascii="宋体" w:hAnsi="宋体" w:eastAsia="宋体" w:cs="宋体"/>
          <w:szCs w:val="21"/>
          <w:highlight w:val="none"/>
        </w:rPr>
      </w:pPr>
      <w:r>
        <w:rPr>
          <w:rFonts w:hint="eastAsia" w:ascii="宋体" w:hAnsi="宋体" w:eastAsia="宋体" w:cs="宋体"/>
          <w:szCs w:val="21"/>
          <w:highlight w:val="none"/>
        </w:rPr>
        <w:t>（3）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赔付。</w:t>
      </w:r>
    </w:p>
    <w:p w14:paraId="7AA46C06">
      <w:pPr>
        <w:tabs>
          <w:tab w:val="left" w:pos="3510"/>
        </w:tabs>
        <w:spacing w:line="360" w:lineRule="auto"/>
        <w:outlineLvl w:val="0"/>
        <w:rPr>
          <w:rFonts w:ascii="宋体" w:hAnsi="宋体" w:eastAsia="宋体" w:cs="宋体"/>
          <w:szCs w:val="21"/>
          <w:highlight w:val="none"/>
        </w:rPr>
      </w:pPr>
      <w:r>
        <w:rPr>
          <w:rFonts w:hint="eastAsia" w:ascii="宋体" w:hAnsi="宋体" w:eastAsia="宋体" w:cs="宋体"/>
          <w:szCs w:val="21"/>
          <w:highlight w:val="none"/>
        </w:rPr>
        <w:t>（4）乙方不得将翻译稿件内容在未经甲方书面授权同意的情况下，传播、泄露给其他任何第三方公司、组织或个人。如有违反，甲方有权解除合同，乙方应返还已收取的全部服务费作为违约金，并承担全额赔偿责任。</w:t>
      </w:r>
    </w:p>
    <w:p w14:paraId="10D11DF7">
      <w:pPr>
        <w:tabs>
          <w:tab w:val="left" w:pos="3510"/>
        </w:tabs>
        <w:spacing w:before="100" w:beforeAutospacing="1" w:after="100" w:afterAutospacing="1" w:line="460" w:lineRule="exact"/>
        <w:ind w:left="720" w:hanging="720"/>
        <w:outlineLvl w:val="0"/>
        <w:rPr>
          <w:rFonts w:ascii="宋体" w:hAnsi="宋体" w:eastAsia="宋体" w:cs="宋体"/>
          <w:szCs w:val="21"/>
          <w:highlight w:val="none"/>
        </w:rPr>
      </w:pPr>
      <w:r>
        <w:rPr>
          <w:rFonts w:hint="eastAsia" w:ascii="宋体" w:hAnsi="宋体" w:eastAsia="宋体" w:cs="宋体"/>
          <w:szCs w:val="21"/>
          <w:highlight w:val="none"/>
        </w:rPr>
        <w:t>2、甲方违约责任：</w:t>
      </w:r>
    </w:p>
    <w:p w14:paraId="417742E7">
      <w:pPr>
        <w:tabs>
          <w:tab w:val="left" w:pos="3510"/>
        </w:tabs>
        <w:spacing w:before="100" w:beforeAutospacing="1" w:after="100" w:afterAutospacing="1" w:line="460" w:lineRule="exact"/>
        <w:outlineLvl w:val="0"/>
        <w:rPr>
          <w:rFonts w:ascii="宋体" w:hAnsi="宋体" w:eastAsia="宋体" w:cs="宋体"/>
          <w:szCs w:val="21"/>
          <w:highlight w:val="none"/>
        </w:rPr>
      </w:pPr>
      <w:r>
        <w:rPr>
          <w:rFonts w:hint="eastAsia" w:ascii="宋体" w:hAnsi="宋体" w:eastAsia="宋体" w:cs="宋体"/>
          <w:szCs w:val="21"/>
          <w:highlight w:val="none"/>
        </w:rPr>
        <w:t>（1）甲方无正当理由逾期付款的，乙方有权书面催讨，甲方收到乙方书面催讨后20天内无正当理由仍未付款的，每逾期一日须向乙方支付违约金500元。此项违约金最高不超过合同总金额的20%。甲方逾期付款且经乙方书面催讨后30日仍未能支付合同规定款项的，乙方有权解除合同，并有权不返还甲方已支付款项。</w:t>
      </w:r>
    </w:p>
    <w:p w14:paraId="174E7E46">
      <w:pPr>
        <w:tabs>
          <w:tab w:val="left" w:pos="3510"/>
        </w:tabs>
        <w:spacing w:before="100" w:beforeAutospacing="1" w:after="100" w:afterAutospacing="1" w:line="360" w:lineRule="auto"/>
        <w:outlineLvl w:val="0"/>
        <w:rPr>
          <w:rFonts w:ascii="宋体" w:hAnsi="宋体" w:eastAsia="宋体" w:cs="宋体"/>
          <w:szCs w:val="21"/>
          <w:highlight w:val="none"/>
        </w:rPr>
      </w:pPr>
      <w:r>
        <w:rPr>
          <w:rFonts w:hint="eastAsia" w:ascii="宋体" w:hAnsi="宋体" w:eastAsia="宋体" w:cs="宋体"/>
          <w:szCs w:val="21"/>
          <w:highlight w:val="none"/>
        </w:rPr>
        <w:t>3、违约金支付：所有一方向另一方支付的违约金须在相应情形发生后20个工作日内支付。乙方违约后甲方收回已支付款项的支付方式照此办理，即甲方书面通知解除合同后的20个工作日内，乙方应将甲方已支付的款项返还甲方。</w:t>
      </w:r>
    </w:p>
    <w:p w14:paraId="394EFB8D">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六、争议解决方式</w:t>
      </w:r>
    </w:p>
    <w:p w14:paraId="26152BF0">
      <w:pPr>
        <w:spacing w:line="46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15435641">
      <w:pPr>
        <w:tabs>
          <w:tab w:val="left" w:pos="3510"/>
        </w:tabs>
        <w:spacing w:before="100" w:beforeAutospacing="1" w:after="100" w:afterAutospacing="1" w:line="460" w:lineRule="exact"/>
        <w:ind w:left="720" w:hanging="720"/>
        <w:outlineLvl w:val="0"/>
        <w:rPr>
          <w:rFonts w:ascii="宋体" w:hAnsi="宋体" w:eastAsia="宋体" w:cs="宋体"/>
          <w:szCs w:val="21"/>
          <w:highlight w:val="none"/>
        </w:rPr>
      </w:pPr>
      <w:r>
        <w:rPr>
          <w:rFonts w:hint="eastAsia" w:ascii="宋体" w:hAnsi="宋体" w:eastAsia="宋体" w:cs="宋体"/>
          <w:b/>
          <w:bCs/>
          <w:szCs w:val="21"/>
          <w:highlight w:val="none"/>
        </w:rPr>
        <w:t>七、商业秘密</w:t>
      </w:r>
    </w:p>
    <w:p w14:paraId="5350BAB4">
      <w:pPr>
        <w:tabs>
          <w:tab w:val="left" w:pos="3510"/>
        </w:tabs>
        <w:spacing w:line="460" w:lineRule="exact"/>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5B1762FB">
      <w:pPr>
        <w:tabs>
          <w:tab w:val="left" w:pos="3510"/>
        </w:tabs>
        <w:spacing w:line="460" w:lineRule="exact"/>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2B3D1DFD">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八、权利瑕疵担保</w:t>
      </w:r>
    </w:p>
    <w:p w14:paraId="62B42E7A">
      <w:pPr>
        <w:tabs>
          <w:tab w:val="left" w:pos="3510"/>
        </w:tabs>
        <w:spacing w:line="460" w:lineRule="exact"/>
        <w:ind w:firstLine="525" w:firstLineChars="250"/>
        <w:rPr>
          <w:rFonts w:ascii="宋体" w:hAnsi="宋体" w:eastAsia="宋体" w:cs="宋体"/>
          <w:kern w:val="0"/>
          <w:szCs w:val="21"/>
          <w:highlight w:val="none"/>
        </w:rPr>
      </w:pPr>
      <w:r>
        <w:rPr>
          <w:rFonts w:hint="eastAsia" w:ascii="宋体" w:hAnsi="宋体" w:eastAsia="宋体" w:cs="宋体"/>
          <w:kern w:val="0"/>
          <w:szCs w:val="21"/>
          <w:highlight w:val="none"/>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14:paraId="3567E7AC">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九、不可抗力和其他延时</w:t>
      </w:r>
    </w:p>
    <w:p w14:paraId="6E2F73CB">
      <w:pPr>
        <w:tabs>
          <w:tab w:val="left" w:pos="3510"/>
        </w:tabs>
        <w:spacing w:line="460" w:lineRule="exact"/>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2D7A296F">
      <w:pPr>
        <w:tabs>
          <w:tab w:val="left" w:pos="3510"/>
        </w:tabs>
        <w:spacing w:line="460" w:lineRule="exact"/>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履约受阻的一方应在不可抗力因素发生后尽可能短的时间内以书面形式通知另一方，并在此后20日内，用航空挂号信将有关部门签发的书面证明作为证据发送给另一方。同时应采取积极措施减少不可抗力事件造成的损失。</w:t>
      </w:r>
    </w:p>
    <w:p w14:paraId="42945660">
      <w:pPr>
        <w:tabs>
          <w:tab w:val="left" w:pos="3510"/>
        </w:tabs>
        <w:spacing w:line="460" w:lineRule="exact"/>
        <w:ind w:firstLine="420" w:firstLineChars="200"/>
        <w:rPr>
          <w:rFonts w:ascii="宋体" w:hAnsi="宋体" w:eastAsia="宋体" w:cs="宋体"/>
          <w:kern w:val="0"/>
          <w:szCs w:val="21"/>
          <w:highlight w:val="none"/>
        </w:rPr>
      </w:pPr>
      <w:r>
        <w:rPr>
          <w:rFonts w:hint="eastAsia" w:ascii="宋体" w:hAnsi="宋体" w:eastAsia="宋体" w:cs="宋体"/>
          <w:kern w:val="0"/>
          <w:szCs w:val="21"/>
          <w:highlight w:val="none"/>
        </w:rPr>
        <w:t>如果不可抗力因素的影响将持续十五天以上，双方应该通过友好谈判的方式，解除本合同或就本合同的后续履行尽快达成补充协议。</w:t>
      </w:r>
    </w:p>
    <w:p w14:paraId="4FC26C8D">
      <w:pPr>
        <w:tabs>
          <w:tab w:val="left" w:pos="3510"/>
        </w:tabs>
        <w:spacing w:before="100" w:beforeAutospacing="1" w:after="100" w:afterAutospacing="1" w:line="460" w:lineRule="exact"/>
        <w:ind w:left="720" w:hanging="720"/>
        <w:outlineLvl w:val="0"/>
        <w:rPr>
          <w:rFonts w:ascii="宋体" w:hAnsi="宋体" w:eastAsia="宋体" w:cs="宋体"/>
          <w:b/>
          <w:bCs/>
          <w:szCs w:val="21"/>
          <w:highlight w:val="none"/>
        </w:rPr>
      </w:pPr>
      <w:r>
        <w:rPr>
          <w:rFonts w:hint="eastAsia" w:ascii="宋体" w:hAnsi="宋体" w:eastAsia="宋体" w:cs="宋体"/>
          <w:b/>
          <w:bCs/>
          <w:szCs w:val="21"/>
          <w:highlight w:val="none"/>
        </w:rPr>
        <w:t>十、合同效力及变更</w:t>
      </w:r>
    </w:p>
    <w:p w14:paraId="70CB4898">
      <w:pPr>
        <w:autoSpaceDE w:val="0"/>
        <w:autoSpaceDN w:val="0"/>
        <w:adjustRightInd w:val="0"/>
        <w:spacing w:line="460" w:lineRule="exact"/>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本合同经双方加盖公章或合同专用章后生效，并以最后盖章日期为生效日期，仅一方填写日期，则该日期为合同生效日期，若双方均未填写日期，本合同不生效。</w:t>
      </w:r>
    </w:p>
    <w:p w14:paraId="41ACD439">
      <w:pPr>
        <w:autoSpaceDE w:val="0"/>
        <w:autoSpaceDN w:val="0"/>
        <w:adjustRightInd w:val="0"/>
        <w:spacing w:line="460" w:lineRule="exact"/>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合同未尽事宜双方应协商解决，必要时可签订补充协议，补充协议作为合同附件与合同正本有同等法律效力。</w:t>
      </w:r>
    </w:p>
    <w:p w14:paraId="1E5662DB">
      <w:pPr>
        <w:autoSpaceDE w:val="0"/>
        <w:autoSpaceDN w:val="0"/>
        <w:adjustRightInd w:val="0"/>
        <w:spacing w:line="460" w:lineRule="exact"/>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各方盖章的书面文件形式进行，该类文件是本合同的有效组成部分。</w:t>
      </w:r>
    </w:p>
    <w:p w14:paraId="731B1E5B">
      <w:pPr>
        <w:autoSpaceDE w:val="0"/>
        <w:autoSpaceDN w:val="0"/>
        <w:adjustRightInd w:val="0"/>
        <w:spacing w:line="460" w:lineRule="exact"/>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本合同一式肆份，甲乙双方各执贰份，具有同等法律效力。</w:t>
      </w:r>
    </w:p>
    <w:p w14:paraId="72688F1A">
      <w:pPr>
        <w:autoSpaceDE w:val="0"/>
        <w:autoSpaceDN w:val="0"/>
        <w:adjustRightInd w:val="0"/>
        <w:spacing w:line="460" w:lineRule="exact"/>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甲方在其官网上公告的“上海黄金交易所翻译服务采购文件”的公示内容及乙方的投标文件作为本合同的一部分，具有同等法律效力，如果各文件之间有矛盾或冲突的，以有利于甲方的表述为准。</w:t>
      </w:r>
    </w:p>
    <w:p w14:paraId="3046D700">
      <w:pPr>
        <w:tabs>
          <w:tab w:val="left" w:pos="3510"/>
        </w:tabs>
        <w:spacing w:line="460" w:lineRule="exact"/>
        <w:rPr>
          <w:rFonts w:ascii="宋体" w:hAnsi="宋体" w:eastAsia="宋体" w:cs="宋体"/>
          <w:b/>
          <w:bCs/>
          <w:szCs w:val="21"/>
          <w:highlight w:val="none"/>
        </w:rPr>
      </w:pPr>
    </w:p>
    <w:p w14:paraId="28B2ECE6">
      <w:pPr>
        <w:tabs>
          <w:tab w:val="left" w:pos="3510"/>
        </w:tabs>
        <w:spacing w:line="460" w:lineRule="exact"/>
        <w:rPr>
          <w:rFonts w:ascii="宋体" w:hAnsi="宋体" w:eastAsia="宋体" w:cs="宋体"/>
          <w:b/>
          <w:bCs/>
          <w:szCs w:val="21"/>
          <w:highlight w:val="none"/>
        </w:rPr>
      </w:pPr>
    </w:p>
    <w:p w14:paraId="7336FB7C">
      <w:pPr>
        <w:tabs>
          <w:tab w:val="left" w:pos="3510"/>
        </w:tabs>
        <w:spacing w:line="460" w:lineRule="exact"/>
        <w:rPr>
          <w:rFonts w:ascii="宋体" w:hAnsi="宋体" w:eastAsia="宋体" w:cs="宋体"/>
          <w:b/>
          <w:bCs/>
          <w:szCs w:val="21"/>
          <w:highlight w:val="none"/>
        </w:rPr>
      </w:pPr>
      <w:r>
        <w:rPr>
          <w:rFonts w:hint="eastAsia" w:ascii="宋体" w:hAnsi="宋体" w:eastAsia="宋体" w:cs="宋体"/>
          <w:b/>
          <w:bCs/>
          <w:szCs w:val="21"/>
          <w:highlight w:val="none"/>
        </w:rPr>
        <w:t>甲方：  （章）                            乙方：                 （章）</w:t>
      </w:r>
    </w:p>
    <w:p w14:paraId="1F5AAC46">
      <w:pPr>
        <w:tabs>
          <w:tab w:val="left" w:pos="3510"/>
        </w:tabs>
        <w:spacing w:line="460" w:lineRule="exact"/>
        <w:rPr>
          <w:rFonts w:ascii="宋体" w:hAnsi="宋体" w:eastAsia="宋体" w:cs="宋体"/>
          <w:b/>
          <w:bCs/>
          <w:szCs w:val="21"/>
          <w:highlight w:val="none"/>
        </w:rPr>
      </w:pPr>
    </w:p>
    <w:p w14:paraId="748FC661">
      <w:pPr>
        <w:tabs>
          <w:tab w:val="left" w:pos="3510"/>
        </w:tabs>
        <w:spacing w:line="460" w:lineRule="exact"/>
        <w:rPr>
          <w:rFonts w:ascii="宋体" w:hAnsi="宋体" w:eastAsia="宋体" w:cs="宋体"/>
          <w:b/>
          <w:bCs/>
          <w:szCs w:val="21"/>
          <w:highlight w:val="none"/>
        </w:rPr>
      </w:pPr>
    </w:p>
    <w:p w14:paraId="195BEBD4">
      <w:pPr>
        <w:tabs>
          <w:tab w:val="left" w:pos="3510"/>
        </w:tabs>
        <w:spacing w:line="460" w:lineRule="exact"/>
        <w:rPr>
          <w:rFonts w:ascii="宋体" w:hAnsi="宋体" w:eastAsia="宋体" w:cs="宋体"/>
          <w:b/>
          <w:bCs/>
          <w:szCs w:val="21"/>
          <w:highlight w:val="none"/>
        </w:rPr>
        <w:sectPr>
          <w:footerReference r:id="rId3" w:type="default"/>
          <w:pgSz w:w="11906" w:h="16838"/>
          <w:pgMar w:top="1440" w:right="924" w:bottom="1440" w:left="1402" w:header="851" w:footer="992" w:gutter="0"/>
          <w:pgNumType w:start="0"/>
          <w:cols w:space="720" w:num="1"/>
          <w:titlePg/>
          <w:docGrid w:type="linesAndChars" w:linePitch="312" w:charSpace="0"/>
        </w:sectPr>
      </w:pPr>
      <w:r>
        <w:rPr>
          <w:rFonts w:hint="eastAsia" w:ascii="宋体" w:hAnsi="宋体" w:eastAsia="宋体" w:cs="宋体"/>
          <w:b/>
          <w:bCs/>
          <w:szCs w:val="21"/>
          <w:highlight w:val="none"/>
        </w:rPr>
        <w:t>日期：     年    月    日                  日期：      年     月    日</w:t>
      </w:r>
    </w:p>
    <w:p w14:paraId="6BE73A01">
      <w:pPr>
        <w:keepNext/>
        <w:keepLines/>
        <w:spacing w:after="330" w:line="360" w:lineRule="auto"/>
        <w:outlineLvl w:val="0"/>
        <w:rPr>
          <w:rFonts w:ascii="宋体" w:hAnsi="宋体" w:eastAsia="宋体" w:cs="Times New Roman"/>
          <w:kern w:val="44"/>
          <w:szCs w:val="21"/>
          <w:highlight w:val="none"/>
        </w:rPr>
      </w:pPr>
      <w:r>
        <w:rPr>
          <w:rFonts w:hint="eastAsia" w:ascii="宋体" w:hAnsi="宋体" w:eastAsia="宋体" w:cs="Times New Roman"/>
          <w:kern w:val="44"/>
          <w:szCs w:val="21"/>
          <w:highlight w:val="none"/>
        </w:rPr>
        <w:t xml:space="preserve">附件一：服务清单   </w:t>
      </w:r>
    </w:p>
    <w:p w14:paraId="20A920D1">
      <w:pPr>
        <w:rPr>
          <w:rFonts w:ascii="Times New Roman" w:hAnsi="Times New Roman" w:eastAsia="宋体" w:cs="Times New Roman"/>
          <w:b/>
          <w:bCs/>
          <w:szCs w:val="21"/>
          <w:highlight w:val="none"/>
          <w:u w:val="single"/>
        </w:rPr>
      </w:pPr>
    </w:p>
    <w:tbl>
      <w:tblPr>
        <w:tblStyle w:val="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297"/>
        <w:gridCol w:w="2224"/>
      </w:tblGrid>
      <w:tr w14:paraId="244B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135CAD7F">
            <w:pPr>
              <w:rPr>
                <w:rFonts w:ascii="Times New Roman" w:hAnsi="Times New Roman" w:eastAsia="Times New Roman" w:cs="Times New Roman"/>
                <w:szCs w:val="21"/>
                <w:highlight w:val="none"/>
              </w:rPr>
            </w:pPr>
            <w:r>
              <w:rPr>
                <w:rFonts w:hint="eastAsia" w:ascii="宋体" w:hAnsi="宋体" w:eastAsia="宋体" w:cs="宋体"/>
                <w:szCs w:val="21"/>
                <w:highlight w:val="none"/>
              </w:rPr>
              <w:t>序号</w:t>
            </w:r>
          </w:p>
        </w:tc>
        <w:tc>
          <w:tcPr>
            <w:tcW w:w="4297" w:type="dxa"/>
          </w:tcPr>
          <w:p w14:paraId="6578A41F">
            <w:pPr>
              <w:ind w:firstLine="420" w:firstLineChars="200"/>
              <w:rPr>
                <w:rFonts w:ascii="Times New Roman" w:hAnsi="Times New Roman" w:eastAsia="Times New Roman" w:cs="Times New Roman"/>
                <w:szCs w:val="21"/>
                <w:highlight w:val="none"/>
              </w:rPr>
            </w:pPr>
            <w:r>
              <w:rPr>
                <w:rFonts w:hint="eastAsia" w:ascii="宋体" w:hAnsi="宋体" w:eastAsia="宋体" w:cs="宋体"/>
                <w:szCs w:val="21"/>
                <w:highlight w:val="none"/>
              </w:rPr>
              <w:t>翻译语言方向</w:t>
            </w:r>
          </w:p>
        </w:tc>
        <w:tc>
          <w:tcPr>
            <w:tcW w:w="2224" w:type="dxa"/>
          </w:tcPr>
          <w:p w14:paraId="603D21EF">
            <w:pPr>
              <w:rPr>
                <w:rFonts w:ascii="Times New Roman" w:hAnsi="Times New Roman" w:eastAsia="Times New Roman" w:cs="Times New Roman"/>
                <w:szCs w:val="21"/>
                <w:highlight w:val="none"/>
              </w:rPr>
            </w:pPr>
            <w:r>
              <w:rPr>
                <w:rFonts w:hint="eastAsia" w:ascii="宋体" w:hAnsi="宋体" w:eastAsia="宋体" w:cs="宋体"/>
                <w:szCs w:val="21"/>
                <w:highlight w:val="none"/>
              </w:rPr>
              <w:t>单价（元/千中文字符）</w:t>
            </w:r>
          </w:p>
        </w:tc>
      </w:tr>
      <w:tr w14:paraId="64B1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9BEA4A5">
            <w:pPr>
              <w:ind w:firstLine="420" w:firstLineChars="200"/>
              <w:rPr>
                <w:rFonts w:ascii="Times New Roman" w:hAnsi="Times New Roman" w:eastAsia="Times New Roman" w:cs="Times New Roman"/>
                <w:szCs w:val="21"/>
                <w:highlight w:val="none"/>
              </w:rPr>
            </w:pPr>
            <w:r>
              <w:rPr>
                <w:rFonts w:ascii="Times New Roman" w:hAnsi="Times New Roman" w:eastAsia="Times New Roman" w:cs="Times New Roman"/>
                <w:szCs w:val="21"/>
                <w:highlight w:val="none"/>
              </w:rPr>
              <w:t>1</w:t>
            </w:r>
          </w:p>
        </w:tc>
        <w:tc>
          <w:tcPr>
            <w:tcW w:w="4297" w:type="dxa"/>
          </w:tcPr>
          <w:p w14:paraId="71BEF341">
            <w:pPr>
              <w:ind w:firstLine="420" w:firstLineChars="200"/>
              <w:rPr>
                <w:rFonts w:ascii="Times New Roman" w:hAnsi="Times New Roman" w:eastAsia="Times New Roman" w:cs="Times New Roman"/>
                <w:szCs w:val="21"/>
                <w:highlight w:val="none"/>
              </w:rPr>
            </w:pPr>
            <w:r>
              <w:rPr>
                <w:rFonts w:hint="eastAsia" w:ascii="宋体" w:hAnsi="宋体" w:eastAsia="宋体" w:cs="宋体"/>
                <w:szCs w:val="21"/>
                <w:highlight w:val="none"/>
              </w:rPr>
              <w:t>中译英</w:t>
            </w:r>
          </w:p>
        </w:tc>
        <w:tc>
          <w:tcPr>
            <w:tcW w:w="2224" w:type="dxa"/>
          </w:tcPr>
          <w:p w14:paraId="4586EFFC">
            <w:pPr>
              <w:ind w:firstLine="420" w:firstLineChars="200"/>
              <w:rPr>
                <w:rFonts w:ascii="Times New Roman" w:hAnsi="Times New Roman" w:eastAsia="Times New Roman" w:cs="Times New Roman"/>
                <w:szCs w:val="21"/>
                <w:highlight w:val="none"/>
              </w:rPr>
            </w:pPr>
          </w:p>
        </w:tc>
      </w:tr>
      <w:tr w14:paraId="2187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7E0843E">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2</w:t>
            </w:r>
          </w:p>
        </w:tc>
        <w:tc>
          <w:tcPr>
            <w:tcW w:w="4297" w:type="dxa"/>
          </w:tcPr>
          <w:p w14:paraId="4B3DED34">
            <w:pPr>
              <w:ind w:firstLine="420" w:firstLineChars="200"/>
              <w:rPr>
                <w:rFonts w:ascii="Times New Roman" w:hAnsi="Times New Roman" w:eastAsia="Times New Roman" w:cs="Times New Roman"/>
                <w:szCs w:val="21"/>
                <w:highlight w:val="none"/>
              </w:rPr>
            </w:pPr>
            <w:r>
              <w:rPr>
                <w:rFonts w:hint="eastAsia" w:ascii="宋体" w:hAnsi="宋体" w:eastAsia="宋体" w:cs="宋体"/>
                <w:szCs w:val="21"/>
                <w:highlight w:val="none"/>
              </w:rPr>
              <w:t>英译中</w:t>
            </w:r>
          </w:p>
        </w:tc>
        <w:tc>
          <w:tcPr>
            <w:tcW w:w="2224" w:type="dxa"/>
          </w:tcPr>
          <w:p w14:paraId="21C1C3F3">
            <w:pPr>
              <w:ind w:firstLine="420" w:firstLineChars="200"/>
              <w:rPr>
                <w:rFonts w:ascii="Times New Roman" w:hAnsi="Times New Roman" w:eastAsia="Times New Roman" w:cs="Times New Roman"/>
                <w:szCs w:val="21"/>
                <w:highlight w:val="none"/>
              </w:rPr>
            </w:pPr>
          </w:p>
        </w:tc>
      </w:tr>
      <w:tr w14:paraId="4E4F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65EE89F">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3</w:t>
            </w:r>
          </w:p>
        </w:tc>
        <w:tc>
          <w:tcPr>
            <w:tcW w:w="4297" w:type="dxa"/>
          </w:tcPr>
          <w:p w14:paraId="120F0916">
            <w:pPr>
              <w:ind w:firstLine="420" w:firstLineChars="200"/>
              <w:rPr>
                <w:rFonts w:ascii="宋体" w:hAnsi="宋体" w:eastAsia="宋体" w:cs="宋体"/>
                <w:szCs w:val="21"/>
                <w:highlight w:val="none"/>
              </w:rPr>
            </w:pPr>
            <w:r>
              <w:rPr>
                <w:rFonts w:hint="eastAsia" w:ascii="宋体" w:hAnsi="宋体" w:eastAsia="宋体" w:cs="宋体"/>
                <w:szCs w:val="21"/>
                <w:highlight w:val="none"/>
              </w:rPr>
              <w:t>中译俄</w:t>
            </w:r>
          </w:p>
        </w:tc>
        <w:tc>
          <w:tcPr>
            <w:tcW w:w="2224" w:type="dxa"/>
          </w:tcPr>
          <w:p w14:paraId="65DC44FE">
            <w:pPr>
              <w:ind w:firstLine="420" w:firstLineChars="200"/>
              <w:rPr>
                <w:rFonts w:ascii="Times New Roman" w:hAnsi="Times New Roman" w:eastAsia="Times New Roman" w:cs="Times New Roman"/>
                <w:szCs w:val="21"/>
                <w:highlight w:val="none"/>
              </w:rPr>
            </w:pPr>
          </w:p>
        </w:tc>
      </w:tr>
      <w:tr w14:paraId="68EB4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FC7CC53">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4</w:t>
            </w:r>
          </w:p>
        </w:tc>
        <w:tc>
          <w:tcPr>
            <w:tcW w:w="4297" w:type="dxa"/>
          </w:tcPr>
          <w:p w14:paraId="0EF6835E">
            <w:pPr>
              <w:ind w:firstLine="420" w:firstLineChars="200"/>
              <w:rPr>
                <w:rFonts w:ascii="宋体" w:hAnsi="宋体" w:eastAsia="宋体" w:cs="宋体"/>
                <w:szCs w:val="21"/>
                <w:highlight w:val="none"/>
              </w:rPr>
            </w:pPr>
            <w:r>
              <w:rPr>
                <w:rFonts w:hint="eastAsia" w:ascii="宋体" w:hAnsi="宋体" w:eastAsia="宋体" w:cs="宋体"/>
                <w:szCs w:val="21"/>
                <w:highlight w:val="none"/>
              </w:rPr>
              <w:t>中译阿拉伯语</w:t>
            </w:r>
          </w:p>
        </w:tc>
        <w:tc>
          <w:tcPr>
            <w:tcW w:w="2224" w:type="dxa"/>
          </w:tcPr>
          <w:p w14:paraId="221A6040">
            <w:pPr>
              <w:ind w:firstLine="420" w:firstLineChars="200"/>
              <w:rPr>
                <w:rFonts w:ascii="Times New Roman" w:hAnsi="Times New Roman" w:eastAsia="Times New Roman" w:cs="Times New Roman"/>
                <w:szCs w:val="21"/>
                <w:highlight w:val="none"/>
              </w:rPr>
            </w:pPr>
          </w:p>
        </w:tc>
      </w:tr>
      <w:tr w14:paraId="317D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5E0790C">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5</w:t>
            </w:r>
          </w:p>
        </w:tc>
        <w:tc>
          <w:tcPr>
            <w:tcW w:w="4297" w:type="dxa"/>
          </w:tcPr>
          <w:p w14:paraId="2F908DB6">
            <w:pPr>
              <w:ind w:firstLine="420" w:firstLineChars="200"/>
              <w:rPr>
                <w:rFonts w:ascii="宋体" w:hAnsi="宋体" w:eastAsia="宋体" w:cs="宋体"/>
                <w:szCs w:val="21"/>
                <w:highlight w:val="none"/>
              </w:rPr>
            </w:pPr>
            <w:r>
              <w:rPr>
                <w:rFonts w:hint="eastAsia" w:ascii="宋体" w:hAnsi="宋体" w:eastAsia="宋体" w:cs="宋体"/>
                <w:szCs w:val="21"/>
                <w:highlight w:val="none"/>
              </w:rPr>
              <w:t>中译葡萄牙语</w:t>
            </w:r>
          </w:p>
        </w:tc>
        <w:tc>
          <w:tcPr>
            <w:tcW w:w="2224" w:type="dxa"/>
          </w:tcPr>
          <w:p w14:paraId="57995C7A">
            <w:pPr>
              <w:ind w:firstLine="420" w:firstLineChars="200"/>
              <w:rPr>
                <w:rFonts w:ascii="Times New Roman" w:hAnsi="Times New Roman" w:eastAsia="Times New Roman" w:cs="Times New Roman"/>
                <w:szCs w:val="21"/>
                <w:highlight w:val="none"/>
              </w:rPr>
            </w:pPr>
          </w:p>
        </w:tc>
      </w:tr>
      <w:tr w14:paraId="09F3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3AA0B719">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6</w:t>
            </w:r>
          </w:p>
        </w:tc>
        <w:tc>
          <w:tcPr>
            <w:tcW w:w="4297" w:type="dxa"/>
          </w:tcPr>
          <w:p w14:paraId="429D19EA">
            <w:pPr>
              <w:ind w:firstLine="420" w:firstLineChars="200"/>
              <w:rPr>
                <w:rFonts w:ascii="宋体" w:hAnsi="宋体" w:eastAsia="宋体" w:cs="宋体"/>
                <w:szCs w:val="21"/>
                <w:highlight w:val="none"/>
              </w:rPr>
            </w:pPr>
            <w:r>
              <w:rPr>
                <w:rFonts w:hint="eastAsia" w:ascii="宋体" w:hAnsi="宋体" w:eastAsia="宋体" w:cs="宋体"/>
                <w:szCs w:val="21"/>
                <w:highlight w:val="none"/>
              </w:rPr>
              <w:t>中译土耳其语</w:t>
            </w:r>
          </w:p>
        </w:tc>
        <w:tc>
          <w:tcPr>
            <w:tcW w:w="2224" w:type="dxa"/>
          </w:tcPr>
          <w:p w14:paraId="1FF80C10">
            <w:pPr>
              <w:ind w:firstLine="420" w:firstLineChars="200"/>
              <w:rPr>
                <w:rFonts w:ascii="Times New Roman" w:hAnsi="Times New Roman" w:eastAsia="Times New Roman" w:cs="Times New Roman"/>
                <w:szCs w:val="21"/>
                <w:highlight w:val="none"/>
              </w:rPr>
            </w:pPr>
          </w:p>
        </w:tc>
      </w:tr>
      <w:tr w14:paraId="2D71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E2C0F6E">
            <w:pPr>
              <w:ind w:firstLine="420" w:firstLineChars="200"/>
              <w:rPr>
                <w:rFonts w:ascii="Times New Roman" w:hAnsi="Times New Roman" w:eastAsia="等线" w:cs="Times New Roman"/>
                <w:szCs w:val="21"/>
                <w:highlight w:val="none"/>
              </w:rPr>
            </w:pPr>
            <w:r>
              <w:rPr>
                <w:rFonts w:hint="eastAsia" w:ascii="Times New Roman" w:hAnsi="Times New Roman" w:eastAsia="等线" w:cs="Times New Roman"/>
                <w:szCs w:val="21"/>
                <w:highlight w:val="none"/>
              </w:rPr>
              <w:t>7</w:t>
            </w:r>
          </w:p>
        </w:tc>
        <w:tc>
          <w:tcPr>
            <w:tcW w:w="4297" w:type="dxa"/>
          </w:tcPr>
          <w:p w14:paraId="5B58D3E3">
            <w:pPr>
              <w:ind w:firstLine="420" w:firstLineChars="200"/>
              <w:rPr>
                <w:rFonts w:ascii="宋体" w:hAnsi="宋体" w:eastAsia="宋体" w:cs="宋体"/>
                <w:szCs w:val="21"/>
                <w:highlight w:val="none"/>
              </w:rPr>
            </w:pPr>
            <w:r>
              <w:rPr>
                <w:rFonts w:hint="eastAsia" w:ascii="宋体" w:hAnsi="宋体" w:eastAsia="宋体" w:cs="宋体"/>
                <w:szCs w:val="21"/>
                <w:highlight w:val="none"/>
              </w:rPr>
              <w:t>中译印尼语</w:t>
            </w:r>
          </w:p>
        </w:tc>
        <w:tc>
          <w:tcPr>
            <w:tcW w:w="2224" w:type="dxa"/>
          </w:tcPr>
          <w:p w14:paraId="79C59F00">
            <w:pPr>
              <w:ind w:firstLine="420" w:firstLineChars="200"/>
              <w:rPr>
                <w:rFonts w:ascii="Times New Roman" w:hAnsi="Times New Roman" w:eastAsia="Times New Roman" w:cs="Times New Roman"/>
                <w:szCs w:val="21"/>
                <w:highlight w:val="none"/>
              </w:rPr>
            </w:pPr>
          </w:p>
        </w:tc>
      </w:tr>
    </w:tbl>
    <w:p w14:paraId="00DEADB1">
      <w:pPr>
        <w:ind w:firstLine="420" w:firstLineChars="200"/>
        <w:rPr>
          <w:rFonts w:ascii="Times New Roman" w:hAnsi="Times New Roman" w:eastAsia="宋体" w:cs="Times New Roman"/>
          <w:szCs w:val="21"/>
          <w:highlight w:val="none"/>
        </w:rPr>
      </w:pPr>
    </w:p>
    <w:p w14:paraId="79BA1B8A">
      <w:pPr>
        <w:rPr>
          <w:rFonts w:ascii="Times New Roman" w:hAnsi="Times New Roman" w:eastAsia="宋体" w:cs="Times New Roman"/>
          <w:b/>
          <w:bCs/>
          <w:szCs w:val="21"/>
          <w:highlight w:val="none"/>
          <w:u w:val="single"/>
        </w:rPr>
      </w:pPr>
    </w:p>
    <w:p w14:paraId="73BF7ED5">
      <w:pPr>
        <w:rPr>
          <w:rFonts w:ascii="Times New Roman" w:hAnsi="Times New Roman" w:eastAsia="宋体" w:cs="Times New Roman"/>
          <w:b/>
          <w:bCs/>
          <w:strike/>
          <w:szCs w:val="21"/>
          <w:highlight w:val="none"/>
          <w:u w:val="single"/>
        </w:rPr>
      </w:pPr>
    </w:p>
    <w:p w14:paraId="1471A6F2">
      <w:pPr>
        <w:rPr>
          <w:rFonts w:ascii="Times New Roman" w:hAnsi="Times New Roman" w:eastAsia="宋体" w:cs="Times New Roman"/>
          <w:szCs w:val="21"/>
          <w:highlight w:val="none"/>
          <w:u w:val="single"/>
        </w:rPr>
      </w:pPr>
      <w:r>
        <w:rPr>
          <w:rFonts w:hint="eastAsia" w:ascii="Times New Roman" w:hAnsi="Times New Roman" w:eastAsia="宋体" w:cs="Times New Roman"/>
          <w:b/>
          <w:bCs/>
          <w:szCs w:val="21"/>
          <w:highlight w:val="none"/>
          <w:u w:val="single"/>
        </w:rPr>
        <w:t>备注：</w:t>
      </w:r>
    </w:p>
    <w:p w14:paraId="671E453D">
      <w:pPr>
        <w:numPr>
          <w:ilvl w:val="0"/>
          <w:numId w:val="22"/>
        </w:numP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以上价格包含_</w:t>
      </w:r>
      <w:r>
        <w:rPr>
          <w:rFonts w:ascii="Times New Roman" w:hAnsi="Times New Roman" w:eastAsia="宋体" w:cs="Times New Roman"/>
          <w:szCs w:val="21"/>
          <w:highlight w:val="none"/>
        </w:rPr>
        <w:t>___</w:t>
      </w:r>
      <w:r>
        <w:rPr>
          <w:rFonts w:hint="eastAsia" w:ascii="Times New Roman" w:hAnsi="Times New Roman" w:eastAsia="宋体" w:cs="Times New Roman"/>
          <w:szCs w:val="21"/>
          <w:highlight w:val="none"/>
        </w:rPr>
        <w:t>%的增值税且均以1,000中文字符为单位计价。</w:t>
      </w:r>
    </w:p>
    <w:p w14:paraId="0F531F43">
      <w:pPr>
        <w:numPr>
          <w:ilvl w:val="0"/>
          <w:numId w:val="22"/>
        </w:numP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中译英文件:</w:t>
      </w:r>
      <w:r>
        <w:rPr>
          <w:rFonts w:ascii="Times New Roman" w:hAnsi="Times New Roman" w:eastAsia="宋体" w:cs="Times New Roman"/>
          <w:szCs w:val="21"/>
          <w:highlight w:val="none"/>
        </w:rPr>
        <w:t xml:space="preserve"> </w:t>
      </w:r>
      <w:r>
        <w:rPr>
          <w:rFonts w:hint="eastAsia" w:ascii="Times New Roman" w:hAnsi="Times New Roman" w:eastAsia="宋体" w:cs="Times New Roman"/>
          <w:szCs w:val="21"/>
          <w:highlight w:val="none"/>
        </w:rPr>
        <w:t>中文字符数计算以word工具栏中字符数（不计空格）为准。</w:t>
      </w:r>
    </w:p>
    <w:p w14:paraId="02E3089D">
      <w:pPr>
        <w:numPr>
          <w:ilvl w:val="0"/>
          <w:numId w:val="22"/>
        </w:numP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英译中文件：中文字符数计算以word工具栏中字符数（不计空格）为准。</w:t>
      </w:r>
    </w:p>
    <w:p w14:paraId="5ACE1625">
      <w:pPr>
        <w:numPr>
          <w:ilvl w:val="0"/>
          <w:numId w:val="22"/>
        </w:numPr>
        <w:rPr>
          <w:rFonts w:ascii="Times New Roman" w:hAnsi="Times New Roman" w:eastAsia="宋体" w:cs="Times New Roman"/>
          <w:szCs w:val="21"/>
          <w:highlight w:val="none"/>
        </w:rPr>
      </w:pPr>
      <w:r>
        <w:rPr>
          <w:rFonts w:hint="eastAsia" w:ascii="宋体" w:hAnsi="宋体" w:eastAsia="宋体" w:cs="宋体"/>
          <w:szCs w:val="21"/>
          <w:highlight w:val="none"/>
        </w:rPr>
        <w:t>中译俄文件：</w:t>
      </w:r>
      <w:r>
        <w:rPr>
          <w:rFonts w:hint="eastAsia" w:ascii="Times New Roman" w:hAnsi="Times New Roman" w:eastAsia="宋体" w:cs="Times New Roman"/>
          <w:szCs w:val="21"/>
          <w:highlight w:val="none"/>
        </w:rPr>
        <w:t>中文字符数计算以word工具栏中字符数（不计空格）为准。</w:t>
      </w:r>
    </w:p>
    <w:p w14:paraId="2F34829B">
      <w:pPr>
        <w:numPr>
          <w:ilvl w:val="0"/>
          <w:numId w:val="22"/>
        </w:numPr>
        <w:rPr>
          <w:rFonts w:ascii="Times New Roman" w:hAnsi="Times New Roman" w:eastAsia="宋体" w:cs="Times New Roman"/>
          <w:szCs w:val="21"/>
          <w:highlight w:val="none"/>
        </w:rPr>
      </w:pPr>
      <w:r>
        <w:rPr>
          <w:rFonts w:hint="eastAsia" w:ascii="宋体" w:hAnsi="宋体" w:eastAsia="宋体" w:cs="宋体"/>
          <w:szCs w:val="21"/>
          <w:highlight w:val="none"/>
        </w:rPr>
        <w:t>中译阿拉伯语文件：</w:t>
      </w:r>
      <w:r>
        <w:rPr>
          <w:rFonts w:hint="eastAsia" w:ascii="Times New Roman" w:hAnsi="Times New Roman" w:eastAsia="宋体" w:cs="Times New Roman"/>
          <w:szCs w:val="21"/>
          <w:highlight w:val="none"/>
        </w:rPr>
        <w:t>中文字符数计算以word工具栏中字符数（不计空格）为准。</w:t>
      </w:r>
    </w:p>
    <w:p w14:paraId="0C8333C7">
      <w:pPr>
        <w:numPr>
          <w:ilvl w:val="0"/>
          <w:numId w:val="22"/>
        </w:numPr>
        <w:rPr>
          <w:rFonts w:ascii="Times New Roman" w:hAnsi="Times New Roman" w:eastAsia="宋体" w:cs="Times New Roman"/>
          <w:szCs w:val="21"/>
          <w:highlight w:val="none"/>
        </w:rPr>
      </w:pPr>
      <w:r>
        <w:rPr>
          <w:rFonts w:hint="eastAsia" w:ascii="宋体" w:hAnsi="宋体" w:eastAsia="宋体" w:cs="宋体"/>
          <w:szCs w:val="21"/>
          <w:highlight w:val="none"/>
        </w:rPr>
        <w:t>中译葡萄牙语文件：</w:t>
      </w:r>
      <w:r>
        <w:rPr>
          <w:rFonts w:hint="eastAsia" w:ascii="Times New Roman" w:hAnsi="Times New Roman" w:eastAsia="宋体" w:cs="Times New Roman"/>
          <w:szCs w:val="21"/>
          <w:highlight w:val="none"/>
        </w:rPr>
        <w:t>中文字符数计算以word工具栏中字符数（不计空格）为准。</w:t>
      </w:r>
    </w:p>
    <w:p w14:paraId="20660700">
      <w:pPr>
        <w:numPr>
          <w:ilvl w:val="0"/>
          <w:numId w:val="22"/>
        </w:numPr>
        <w:rPr>
          <w:rFonts w:ascii="Times New Roman" w:hAnsi="Times New Roman" w:eastAsia="宋体" w:cs="Times New Roman"/>
          <w:szCs w:val="21"/>
          <w:highlight w:val="none"/>
        </w:rPr>
      </w:pPr>
      <w:r>
        <w:rPr>
          <w:rFonts w:hint="eastAsia" w:ascii="宋体" w:hAnsi="宋体" w:eastAsia="宋体" w:cs="宋体"/>
          <w:szCs w:val="21"/>
          <w:highlight w:val="none"/>
        </w:rPr>
        <w:t>中译土耳其语文件：</w:t>
      </w:r>
      <w:r>
        <w:rPr>
          <w:rFonts w:hint="eastAsia" w:ascii="Times New Roman" w:hAnsi="Times New Roman" w:eastAsia="宋体" w:cs="Times New Roman"/>
          <w:szCs w:val="21"/>
          <w:highlight w:val="none"/>
        </w:rPr>
        <w:t>中文字符数计算以word工具栏中字符数（不计空格）为准。</w:t>
      </w:r>
    </w:p>
    <w:p w14:paraId="05275D33">
      <w:pPr>
        <w:numPr>
          <w:ilvl w:val="0"/>
          <w:numId w:val="22"/>
        </w:numPr>
        <w:rPr>
          <w:rFonts w:ascii="Times New Roman" w:hAnsi="Times New Roman" w:eastAsia="宋体" w:cs="Times New Roman"/>
          <w:szCs w:val="21"/>
          <w:highlight w:val="none"/>
        </w:rPr>
      </w:pPr>
      <w:r>
        <w:rPr>
          <w:rFonts w:hint="eastAsia" w:ascii="宋体" w:hAnsi="宋体" w:eastAsia="宋体" w:cs="宋体"/>
          <w:szCs w:val="21"/>
          <w:highlight w:val="none"/>
        </w:rPr>
        <w:t>中译印尼语文件：</w:t>
      </w:r>
      <w:r>
        <w:rPr>
          <w:rFonts w:hint="eastAsia" w:ascii="Times New Roman" w:hAnsi="Times New Roman" w:eastAsia="宋体" w:cs="Times New Roman"/>
          <w:szCs w:val="21"/>
          <w:highlight w:val="none"/>
        </w:rPr>
        <w:t>中文字符数计算以word工具栏中字符数（不计空格）为准。</w:t>
      </w:r>
    </w:p>
    <w:p w14:paraId="522F2AF8">
      <w:pPr>
        <w:rPr>
          <w:rFonts w:ascii="Times New Roman" w:hAnsi="Times New Roman" w:eastAsia="宋体" w:cs="Times New Roman"/>
          <w:szCs w:val="21"/>
          <w:highlight w:val="none"/>
        </w:rPr>
      </w:pPr>
    </w:p>
    <w:p w14:paraId="769043D5">
      <w:pPr>
        <w:rPr>
          <w:rFonts w:ascii="Times New Roman" w:hAnsi="Times New Roman" w:eastAsia="宋体" w:cs="Times New Roman"/>
          <w:szCs w:val="21"/>
          <w:highlight w:val="none"/>
        </w:rPr>
      </w:pPr>
    </w:p>
    <w:p w14:paraId="1787371F">
      <w:pPr>
        <w:rPr>
          <w:rFonts w:ascii="Times New Roman" w:hAnsi="Times New Roman" w:eastAsia="宋体" w:cs="Times New Roman"/>
          <w:szCs w:val="21"/>
          <w:highlight w:val="none"/>
        </w:rPr>
      </w:pPr>
    </w:p>
    <w:p w14:paraId="395A53BD">
      <w:pPr>
        <w:rPr>
          <w:rFonts w:ascii="Times New Roman" w:hAnsi="Times New Roman" w:eastAsia="宋体" w:cs="Times New Roman"/>
          <w:szCs w:val="21"/>
          <w:highlight w:val="none"/>
        </w:rPr>
      </w:pPr>
    </w:p>
    <w:p w14:paraId="594B4B55">
      <w:pPr>
        <w:rPr>
          <w:rFonts w:ascii="Times New Roman" w:hAnsi="Times New Roman" w:eastAsia="宋体" w:cs="Times New Roman"/>
          <w:szCs w:val="21"/>
          <w:highlight w:val="none"/>
        </w:rPr>
      </w:pPr>
    </w:p>
    <w:p w14:paraId="3895D545">
      <w:pPr>
        <w:rPr>
          <w:rFonts w:ascii="Times New Roman" w:hAnsi="Times New Roman" w:eastAsia="宋体" w:cs="Times New Roman"/>
          <w:szCs w:val="21"/>
          <w:highlight w:val="none"/>
        </w:rPr>
      </w:pPr>
    </w:p>
    <w:p w14:paraId="6723864A">
      <w:pPr>
        <w:rPr>
          <w:rFonts w:ascii="Times New Roman" w:hAnsi="Times New Roman" w:eastAsia="宋体" w:cs="Times New Roman"/>
          <w:szCs w:val="21"/>
          <w:highlight w:val="none"/>
        </w:rPr>
      </w:pPr>
    </w:p>
    <w:p w14:paraId="58E3B6FF">
      <w:pPr>
        <w:rPr>
          <w:rFonts w:ascii="Times New Roman" w:hAnsi="Times New Roman" w:eastAsia="宋体" w:cs="Times New Roman"/>
          <w:szCs w:val="21"/>
          <w:highlight w:val="none"/>
        </w:rPr>
      </w:pPr>
    </w:p>
    <w:p w14:paraId="32F046FA">
      <w:pPr>
        <w:rPr>
          <w:rFonts w:ascii="Times New Roman" w:hAnsi="Times New Roman" w:eastAsia="宋体" w:cs="Times New Roman"/>
          <w:szCs w:val="21"/>
          <w:highlight w:val="none"/>
        </w:rPr>
      </w:pPr>
    </w:p>
    <w:p w14:paraId="46DFC5B4">
      <w:pPr>
        <w:rPr>
          <w:rFonts w:ascii="Times New Roman" w:hAnsi="Times New Roman" w:eastAsia="宋体" w:cs="Times New Roman"/>
          <w:szCs w:val="21"/>
          <w:highlight w:val="none"/>
        </w:rPr>
      </w:pPr>
    </w:p>
    <w:p w14:paraId="11B05EEA">
      <w:pPr>
        <w:rPr>
          <w:rFonts w:ascii="Times New Roman" w:hAnsi="Times New Roman" w:eastAsia="宋体" w:cs="Times New Roman"/>
          <w:szCs w:val="21"/>
          <w:highlight w:val="none"/>
        </w:rPr>
      </w:pPr>
    </w:p>
    <w:p w14:paraId="3635E64A">
      <w:pPr>
        <w:rPr>
          <w:rFonts w:ascii="Times New Roman" w:hAnsi="Times New Roman" w:eastAsia="宋体" w:cs="Times New Roman"/>
          <w:szCs w:val="21"/>
          <w:highlight w:val="none"/>
        </w:rPr>
      </w:pPr>
    </w:p>
    <w:p w14:paraId="4CD06FF6">
      <w:pPr>
        <w:rPr>
          <w:rFonts w:ascii="Times New Roman" w:hAnsi="Times New Roman" w:eastAsia="宋体" w:cs="Times New Roman"/>
          <w:szCs w:val="21"/>
          <w:highlight w:val="none"/>
        </w:rPr>
      </w:pPr>
    </w:p>
    <w:p w14:paraId="73640A5A">
      <w:pPr>
        <w:rPr>
          <w:rFonts w:ascii="Times New Roman" w:hAnsi="Times New Roman" w:eastAsia="宋体" w:cs="Times New Roman"/>
          <w:szCs w:val="21"/>
          <w:highlight w:val="none"/>
        </w:rPr>
      </w:pPr>
    </w:p>
    <w:p w14:paraId="5FEE24AA">
      <w:pPr>
        <w:rPr>
          <w:rFonts w:ascii="Times New Roman" w:hAnsi="Times New Roman" w:eastAsia="宋体" w:cs="Times New Roman"/>
          <w:szCs w:val="21"/>
          <w:highlight w:val="none"/>
        </w:rPr>
      </w:pPr>
    </w:p>
    <w:p w14:paraId="4E018545">
      <w:pPr>
        <w:rPr>
          <w:rFonts w:ascii="Times New Roman" w:hAnsi="Times New Roman" w:eastAsia="宋体" w:cs="Times New Roman"/>
          <w:szCs w:val="21"/>
          <w:highlight w:val="none"/>
        </w:rPr>
      </w:pPr>
    </w:p>
    <w:p w14:paraId="2B62770B">
      <w:pPr>
        <w:rPr>
          <w:rFonts w:ascii="Times New Roman" w:hAnsi="Times New Roman" w:eastAsia="宋体" w:cs="Times New Roman"/>
          <w:szCs w:val="21"/>
          <w:highlight w:val="none"/>
        </w:rPr>
      </w:pPr>
    </w:p>
    <w:p w14:paraId="7B7DA5B4">
      <w:pPr>
        <w:rPr>
          <w:rFonts w:ascii="Times New Roman" w:hAnsi="Times New Roman" w:eastAsia="宋体" w:cs="Times New Roman"/>
          <w:szCs w:val="21"/>
          <w:highlight w:val="none"/>
        </w:rPr>
      </w:pPr>
    </w:p>
    <w:p w14:paraId="1E4AD9E3">
      <w:pPr>
        <w:rPr>
          <w:rFonts w:ascii="Times New Roman" w:hAnsi="Times New Roman" w:eastAsia="宋体" w:cs="Times New Roman"/>
          <w:szCs w:val="21"/>
          <w:highlight w:val="none"/>
        </w:rPr>
      </w:pPr>
    </w:p>
    <w:p w14:paraId="389597BB">
      <w:pPr>
        <w:rPr>
          <w:rFonts w:ascii="Times New Roman" w:hAnsi="Times New Roman" w:eastAsia="宋体" w:cs="Times New Roman"/>
          <w:szCs w:val="21"/>
          <w:highlight w:val="none"/>
        </w:rPr>
      </w:pPr>
    </w:p>
    <w:p w14:paraId="5DEAB899">
      <w:pPr>
        <w:rPr>
          <w:rFonts w:ascii="Times New Roman" w:hAnsi="Times New Roman" w:eastAsia="宋体" w:cs="Times New Roman"/>
          <w:szCs w:val="21"/>
          <w:highlight w:val="none"/>
        </w:rPr>
      </w:pPr>
    </w:p>
    <w:p w14:paraId="10B8B35B">
      <w:pPr>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 xml:space="preserve">附件二：服务内容 </w:t>
      </w:r>
    </w:p>
    <w:p w14:paraId="18C56182">
      <w:pPr>
        <w:rPr>
          <w:rFonts w:ascii="Times New Roman" w:hAnsi="Times New Roman" w:eastAsia="宋体" w:cs="Times New Roman"/>
          <w:szCs w:val="21"/>
          <w:highlight w:val="none"/>
        </w:rPr>
      </w:pPr>
    </w:p>
    <w:p w14:paraId="673A7B96">
      <w:pPr>
        <w:rPr>
          <w:rFonts w:ascii="Times New Roman" w:hAnsi="Times New Roman" w:eastAsia="宋体" w:cs="Times New Roman"/>
          <w:szCs w:val="21"/>
          <w:highlight w:val="none"/>
        </w:rPr>
      </w:pPr>
    </w:p>
    <w:p w14:paraId="49A40EA5">
      <w:pPr>
        <w:rPr>
          <w:rFonts w:ascii="Times New Roman" w:hAnsi="Times New Roman" w:eastAsia="宋体" w:cs="Times New Roman"/>
          <w:szCs w:val="21"/>
          <w:highlight w:val="none"/>
        </w:rPr>
      </w:pPr>
    </w:p>
    <w:p w14:paraId="35D2B206">
      <w:pPr>
        <w:rPr>
          <w:rFonts w:ascii="Times New Roman" w:hAnsi="Times New Roman" w:eastAsia="宋体" w:cs="Times New Roman"/>
          <w:szCs w:val="21"/>
          <w:highlight w:val="none"/>
        </w:rPr>
      </w:pPr>
    </w:p>
    <w:p w14:paraId="05A14BE1">
      <w:pPr>
        <w:rPr>
          <w:rFonts w:ascii="宋体" w:hAnsi="宋体" w:eastAsia="宋体" w:cs="Times New Roman"/>
          <w:szCs w:val="21"/>
          <w:highlight w:val="none"/>
        </w:rPr>
      </w:pPr>
      <w:r>
        <w:rPr>
          <w:rFonts w:hint="eastAsia" w:ascii="宋体" w:hAnsi="宋体" w:eastAsia="宋体" w:cs="Times New Roman"/>
          <w:szCs w:val="21"/>
          <w:highlight w:val="none"/>
        </w:rPr>
        <w:t>附件三：验收报告及验收结论</w:t>
      </w:r>
    </w:p>
    <w:p w14:paraId="17E897EF">
      <w:pPr>
        <w:rPr>
          <w:rFonts w:ascii="宋体" w:hAnsi="宋体" w:eastAsia="宋体" w:cs="Times New Roman"/>
          <w:szCs w:val="21"/>
          <w:highlight w:val="none"/>
        </w:rPr>
      </w:pPr>
    </w:p>
    <w:p w14:paraId="51197135">
      <w:pPr>
        <w:jc w:val="center"/>
        <w:rPr>
          <w:rFonts w:ascii="宋体" w:hAnsi="宋体" w:eastAsia="宋体" w:cs="宋体"/>
          <w:b/>
          <w:sz w:val="28"/>
          <w:szCs w:val="28"/>
          <w:highlight w:val="none"/>
        </w:rPr>
      </w:pPr>
      <w:r>
        <w:rPr>
          <w:rFonts w:hint="eastAsia" w:ascii="宋体" w:hAnsi="宋体" w:eastAsia="宋体" w:cs="宋体"/>
          <w:b/>
          <w:sz w:val="28"/>
          <w:szCs w:val="28"/>
          <w:highlight w:val="none"/>
        </w:rPr>
        <w:t>验收报告</w:t>
      </w:r>
    </w:p>
    <w:p w14:paraId="5818DFBC">
      <w:pPr>
        <w:ind w:firstLine="420" w:firstLineChars="200"/>
        <w:rPr>
          <w:rFonts w:ascii="Times New Roman" w:hAnsi="Times New Roman" w:eastAsia="宋体" w:cs="Times New Roman"/>
          <w:szCs w:val="21"/>
          <w:highlight w:val="none"/>
        </w:rPr>
      </w:pPr>
    </w:p>
    <w:p w14:paraId="4D4C1533">
      <w:pPr>
        <w:rPr>
          <w:rFonts w:ascii="宋体" w:hAnsi="宋体" w:eastAsia="宋体" w:cs="宋体"/>
          <w:szCs w:val="21"/>
          <w:highlight w:val="none"/>
        </w:rPr>
      </w:pPr>
      <w:r>
        <w:rPr>
          <w:rFonts w:hint="eastAsia" w:ascii="宋体" w:hAnsi="宋体" w:eastAsia="宋体" w:cs="宋体"/>
          <w:szCs w:val="21"/>
          <w:highlight w:val="none"/>
        </w:rPr>
        <w:t>验收阶段（期）                                                第   次验收</w:t>
      </w:r>
    </w:p>
    <w:tbl>
      <w:tblPr>
        <w:tblStyle w:val="8"/>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6904"/>
      </w:tblGrid>
      <w:tr w14:paraId="7EA4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51" w:type="dxa"/>
            <w:tcBorders>
              <w:bottom w:val="single" w:color="auto" w:sz="4" w:space="0"/>
              <w:right w:val="single" w:color="auto" w:sz="4" w:space="0"/>
            </w:tcBorders>
            <w:vAlign w:val="center"/>
          </w:tcPr>
          <w:p w14:paraId="7AD62090">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采购合同信息</w:t>
            </w:r>
          </w:p>
        </w:tc>
        <w:tc>
          <w:tcPr>
            <w:tcW w:w="6904" w:type="dxa"/>
            <w:tcBorders>
              <w:top w:val="single" w:color="auto" w:sz="4" w:space="0"/>
              <w:left w:val="single" w:color="auto" w:sz="4" w:space="0"/>
              <w:bottom w:val="single" w:color="auto" w:sz="4" w:space="0"/>
              <w:right w:val="single" w:color="auto" w:sz="4" w:space="0"/>
            </w:tcBorders>
            <w:vAlign w:val="center"/>
          </w:tcPr>
          <w:p w14:paraId="03AC28C1">
            <w:pPr>
              <w:rPr>
                <w:rFonts w:ascii="宋体" w:hAnsi="宋体" w:eastAsia="宋体" w:cs="宋体"/>
                <w:szCs w:val="21"/>
                <w:highlight w:val="none"/>
              </w:rPr>
            </w:pPr>
            <w:r>
              <w:rPr>
                <w:rFonts w:hint="eastAsia" w:ascii="宋体" w:hAnsi="宋体" w:eastAsia="宋体" w:cs="宋体"/>
                <w:szCs w:val="21"/>
                <w:highlight w:val="none"/>
              </w:rPr>
              <w:t>（合同名称等内容）</w:t>
            </w:r>
          </w:p>
        </w:tc>
      </w:tr>
      <w:tr w14:paraId="1186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551" w:type="dxa"/>
            <w:tcBorders>
              <w:bottom w:val="single" w:color="auto" w:sz="4" w:space="0"/>
              <w:right w:val="single" w:color="auto" w:sz="4" w:space="0"/>
            </w:tcBorders>
            <w:vAlign w:val="center"/>
          </w:tcPr>
          <w:p w14:paraId="7C220B6B">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验收信息</w:t>
            </w:r>
          </w:p>
        </w:tc>
        <w:tc>
          <w:tcPr>
            <w:tcW w:w="6904" w:type="dxa"/>
            <w:tcBorders>
              <w:top w:val="single" w:color="auto" w:sz="4" w:space="0"/>
              <w:left w:val="single" w:color="auto" w:sz="4" w:space="0"/>
              <w:bottom w:val="single" w:color="auto" w:sz="4" w:space="0"/>
              <w:right w:val="single" w:color="auto" w:sz="4" w:space="0"/>
            </w:tcBorders>
            <w:vAlign w:val="center"/>
          </w:tcPr>
          <w:p w14:paraId="411D0646">
            <w:pPr>
              <w:rPr>
                <w:rFonts w:ascii="宋体" w:hAnsi="宋体" w:eastAsia="宋体" w:cs="宋体"/>
                <w:szCs w:val="21"/>
                <w:highlight w:val="none"/>
              </w:rPr>
            </w:pPr>
            <w:r>
              <w:rPr>
                <w:rFonts w:hint="eastAsia" w:ascii="宋体" w:hAnsi="宋体" w:eastAsia="宋体" w:cs="宋体"/>
                <w:szCs w:val="21"/>
                <w:highlight w:val="none"/>
              </w:rPr>
              <w:t>（验收时间、验收地点等内容）</w:t>
            </w:r>
          </w:p>
        </w:tc>
      </w:tr>
      <w:tr w14:paraId="2F5F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51" w:type="dxa"/>
            <w:tcBorders>
              <w:bottom w:val="single" w:color="auto" w:sz="4" w:space="0"/>
              <w:right w:val="single" w:color="auto" w:sz="4" w:space="0"/>
            </w:tcBorders>
            <w:vAlign w:val="center"/>
          </w:tcPr>
          <w:p w14:paraId="732BDD49">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验收小组成员</w:t>
            </w:r>
          </w:p>
        </w:tc>
        <w:tc>
          <w:tcPr>
            <w:tcW w:w="6904" w:type="dxa"/>
            <w:tcBorders>
              <w:top w:val="single" w:color="auto" w:sz="4" w:space="0"/>
              <w:left w:val="single" w:color="auto" w:sz="4" w:space="0"/>
              <w:bottom w:val="single" w:color="auto" w:sz="4" w:space="0"/>
              <w:right w:val="single" w:color="auto" w:sz="4" w:space="0"/>
            </w:tcBorders>
            <w:vAlign w:val="center"/>
          </w:tcPr>
          <w:p w14:paraId="74D520FE">
            <w:pPr>
              <w:rPr>
                <w:rFonts w:ascii="宋体" w:hAnsi="宋体" w:eastAsia="宋体" w:cs="宋体"/>
                <w:szCs w:val="21"/>
                <w:highlight w:val="none"/>
              </w:rPr>
            </w:pPr>
            <w:r>
              <w:rPr>
                <w:rFonts w:hint="eastAsia" w:ascii="宋体" w:hAnsi="宋体" w:eastAsia="宋体" w:cs="宋体"/>
                <w:szCs w:val="21"/>
                <w:highlight w:val="none"/>
              </w:rPr>
              <w:t>（与相应的验收实施计划（如有）一致）</w:t>
            </w:r>
          </w:p>
        </w:tc>
      </w:tr>
      <w:tr w14:paraId="1E7E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1551" w:type="dxa"/>
            <w:tcBorders>
              <w:bottom w:val="single" w:color="auto" w:sz="4" w:space="0"/>
              <w:right w:val="single" w:color="auto" w:sz="4" w:space="0"/>
            </w:tcBorders>
            <w:vAlign w:val="center"/>
          </w:tcPr>
          <w:p w14:paraId="0421D429">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验收报告</w:t>
            </w:r>
          </w:p>
        </w:tc>
        <w:tc>
          <w:tcPr>
            <w:tcW w:w="6904" w:type="dxa"/>
            <w:tcBorders>
              <w:top w:val="single" w:color="auto" w:sz="4" w:space="0"/>
              <w:left w:val="single" w:color="auto" w:sz="4" w:space="0"/>
              <w:bottom w:val="single" w:color="auto" w:sz="4" w:space="0"/>
              <w:right w:val="single" w:color="auto" w:sz="4" w:space="0"/>
            </w:tcBorders>
            <w:vAlign w:val="center"/>
          </w:tcPr>
          <w:p w14:paraId="20D4CB10">
            <w:pPr>
              <w:rPr>
                <w:rFonts w:ascii="宋体" w:hAnsi="宋体" w:eastAsia="宋体" w:cs="宋体"/>
                <w:szCs w:val="21"/>
                <w:highlight w:val="none"/>
              </w:rPr>
            </w:pPr>
            <w:r>
              <w:rPr>
                <w:rFonts w:hint="eastAsia" w:ascii="宋体" w:hAnsi="宋体" w:eastAsia="宋体" w:cs="宋体"/>
                <w:szCs w:val="21"/>
                <w:highlight w:val="none"/>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278D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551" w:type="dxa"/>
            <w:vAlign w:val="center"/>
          </w:tcPr>
          <w:p w14:paraId="07FF29B9">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验收结果</w:t>
            </w:r>
          </w:p>
        </w:tc>
        <w:tc>
          <w:tcPr>
            <w:tcW w:w="6904" w:type="dxa"/>
            <w:vAlign w:val="center"/>
          </w:tcPr>
          <w:p w14:paraId="62F0629D">
            <w:pPr>
              <w:jc w:val="center"/>
              <w:rPr>
                <w:rFonts w:ascii="宋体" w:hAnsi="宋体" w:eastAsia="宋体" w:cs="宋体"/>
                <w:szCs w:val="21"/>
                <w:highlight w:val="none"/>
              </w:rPr>
            </w:pPr>
            <w:r>
              <w:rPr>
                <w:rFonts w:hint="eastAsia" w:ascii="宋体" w:hAnsi="宋体" w:eastAsia="宋体" w:cs="宋体"/>
                <w:szCs w:val="21"/>
                <w:highlight w:val="none"/>
              </w:rPr>
              <w:t>合格/不合格</w:t>
            </w:r>
          </w:p>
          <w:p w14:paraId="3B041B05">
            <w:pPr>
              <w:jc w:val="center"/>
              <w:rPr>
                <w:rFonts w:ascii="宋体" w:hAnsi="宋体" w:eastAsia="宋体" w:cs="宋体"/>
                <w:szCs w:val="21"/>
                <w:highlight w:val="none"/>
              </w:rPr>
            </w:pPr>
            <w:r>
              <w:rPr>
                <w:rFonts w:hint="eastAsia" w:ascii="宋体" w:hAnsi="宋体" w:eastAsia="宋体" w:cs="宋体"/>
                <w:szCs w:val="21"/>
                <w:highlight w:val="none"/>
              </w:rPr>
              <w:t>验收小组成员签字：</w:t>
            </w:r>
          </w:p>
        </w:tc>
      </w:tr>
      <w:tr w14:paraId="3178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1551" w:type="dxa"/>
            <w:vAlign w:val="center"/>
          </w:tcPr>
          <w:p w14:paraId="754B59D7">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供应商现场认定意见</w:t>
            </w:r>
          </w:p>
        </w:tc>
        <w:tc>
          <w:tcPr>
            <w:tcW w:w="6904" w:type="dxa"/>
            <w:vAlign w:val="center"/>
          </w:tcPr>
          <w:p w14:paraId="66C288F6">
            <w:pPr>
              <w:ind w:right="-108"/>
              <w:rPr>
                <w:rFonts w:ascii="宋体" w:hAnsi="宋体" w:eastAsia="宋体" w:cs="宋体"/>
                <w:szCs w:val="21"/>
                <w:highlight w:val="none"/>
              </w:rPr>
            </w:pPr>
            <w:r>
              <w:rPr>
                <w:rFonts w:hint="eastAsia" w:ascii="宋体" w:hAnsi="宋体" w:eastAsia="宋体" w:cs="宋体"/>
                <w:szCs w:val="21"/>
                <w:highlight w:val="none"/>
              </w:rPr>
              <w:t>认定意见：同意/不同意</w:t>
            </w:r>
          </w:p>
          <w:p w14:paraId="500D28F2">
            <w:pPr>
              <w:ind w:right="-108"/>
              <w:rPr>
                <w:rFonts w:ascii="宋体" w:hAnsi="宋体" w:eastAsia="宋体" w:cs="宋体"/>
                <w:szCs w:val="21"/>
                <w:highlight w:val="none"/>
              </w:rPr>
            </w:pPr>
            <w:r>
              <w:rPr>
                <w:rFonts w:hint="eastAsia" w:ascii="宋体" w:hAnsi="宋体" w:eastAsia="宋体" w:cs="宋体"/>
                <w:szCs w:val="21"/>
                <w:highlight w:val="none"/>
              </w:rPr>
              <w:t>法定代表人或其授权代表签字，或加盖公章或验收专用章：</w:t>
            </w:r>
          </w:p>
          <w:p w14:paraId="23E8B51E">
            <w:pPr>
              <w:ind w:firstLine="420" w:firstLineChars="200"/>
              <w:jc w:val="left"/>
              <w:rPr>
                <w:rFonts w:ascii="宋体" w:hAnsi="宋体" w:eastAsia="宋体" w:cs="宋体"/>
                <w:szCs w:val="21"/>
                <w:highlight w:val="none"/>
              </w:rPr>
            </w:pPr>
            <w:r>
              <w:rPr>
                <w:rFonts w:hint="eastAsia" w:ascii="宋体" w:hAnsi="宋体" w:eastAsia="宋体" w:cs="宋体"/>
                <w:szCs w:val="21"/>
                <w:highlight w:val="none"/>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083FFA00">
      <w:pPr>
        <w:jc w:val="left"/>
        <w:rPr>
          <w:rFonts w:ascii="宋体" w:hAnsi="宋体" w:eastAsia="宋体" w:cs="宋体"/>
          <w:szCs w:val="21"/>
          <w:highlight w:val="none"/>
        </w:rPr>
      </w:pPr>
      <w:r>
        <w:rPr>
          <w:rFonts w:hint="eastAsia" w:ascii="宋体" w:hAnsi="宋体" w:eastAsia="宋体" w:cs="宋体"/>
          <w:szCs w:val="21"/>
          <w:highlight w:val="none"/>
        </w:rPr>
        <w:t>注：可根据实际情况调整内容或另附页，但不得删减关键要素内容。</w:t>
      </w:r>
    </w:p>
    <w:p w14:paraId="196679F1">
      <w:pPr>
        <w:rPr>
          <w:rFonts w:ascii="宋体" w:hAnsi="宋体" w:eastAsia="宋体" w:cs="宋体"/>
          <w:szCs w:val="21"/>
          <w:highlight w:val="none"/>
        </w:rPr>
      </w:pPr>
    </w:p>
    <w:p w14:paraId="0B60BEE9">
      <w:pPr>
        <w:jc w:val="center"/>
        <w:rPr>
          <w:rFonts w:ascii="宋体" w:hAnsi="宋体" w:eastAsia="宋体" w:cs="宋体"/>
          <w:b/>
          <w:szCs w:val="21"/>
          <w:highlight w:val="none"/>
        </w:rPr>
      </w:pPr>
      <w:r>
        <w:rPr>
          <w:rFonts w:hint="eastAsia" w:ascii="Times New Roman" w:hAnsi="Times New Roman" w:eastAsia="宋体" w:cs="Times New Roman"/>
          <w:szCs w:val="21"/>
          <w:highlight w:val="none"/>
        </w:rPr>
        <w:br w:type="page"/>
      </w:r>
      <w:r>
        <w:rPr>
          <w:rFonts w:hint="eastAsia" w:ascii="宋体" w:hAnsi="宋体" w:eastAsia="宋体" w:cs="宋体"/>
          <w:b/>
          <w:sz w:val="28"/>
          <w:szCs w:val="28"/>
          <w:highlight w:val="none"/>
        </w:rPr>
        <w:t>验收结论</w:t>
      </w:r>
    </w:p>
    <w:p w14:paraId="1988B881">
      <w:pPr>
        <w:ind w:firstLine="420" w:firstLineChars="200"/>
        <w:rPr>
          <w:rFonts w:ascii="Times New Roman" w:hAnsi="Times New Roman" w:eastAsia="宋体" w:cs="Times New Roman"/>
          <w:szCs w:val="21"/>
          <w:highlight w:val="none"/>
        </w:rPr>
      </w:pPr>
    </w:p>
    <w:p w14:paraId="2D1AE7C2">
      <w:pPr>
        <w:rPr>
          <w:rFonts w:ascii="宋体" w:hAnsi="宋体" w:eastAsia="宋体" w:cs="宋体"/>
          <w:szCs w:val="21"/>
          <w:highlight w:val="none"/>
        </w:rPr>
      </w:pPr>
      <w:r>
        <w:rPr>
          <w:rFonts w:hint="eastAsia" w:ascii="宋体" w:hAnsi="宋体" w:eastAsia="宋体" w:cs="宋体"/>
          <w:szCs w:val="21"/>
          <w:highlight w:val="none"/>
        </w:rPr>
        <w:t>验收阶段（期）：                                                   第   次验收</w:t>
      </w:r>
    </w:p>
    <w:tbl>
      <w:tblPr>
        <w:tblStyle w:val="8"/>
        <w:tblW w:w="8291"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6573"/>
      </w:tblGrid>
      <w:tr w14:paraId="792F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vAlign w:val="center"/>
          </w:tcPr>
          <w:p w14:paraId="7C39CE78">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采购合同信息</w:t>
            </w:r>
          </w:p>
        </w:tc>
        <w:tc>
          <w:tcPr>
            <w:tcW w:w="6573" w:type="dxa"/>
            <w:vAlign w:val="center"/>
          </w:tcPr>
          <w:p w14:paraId="50B2DF5B">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（合同名称等内容）</w:t>
            </w:r>
          </w:p>
        </w:tc>
      </w:tr>
      <w:tr w14:paraId="63F8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vAlign w:val="center"/>
          </w:tcPr>
          <w:p w14:paraId="321BC042">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验收信息</w:t>
            </w:r>
          </w:p>
        </w:tc>
        <w:tc>
          <w:tcPr>
            <w:tcW w:w="6573" w:type="dxa"/>
            <w:vAlign w:val="center"/>
          </w:tcPr>
          <w:p w14:paraId="6DAB696F">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（验收时间、验收地点等内容）</w:t>
            </w:r>
          </w:p>
        </w:tc>
      </w:tr>
      <w:tr w14:paraId="353D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vAlign w:val="center"/>
          </w:tcPr>
          <w:p w14:paraId="567C20DC">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验收报告信息</w:t>
            </w:r>
          </w:p>
        </w:tc>
        <w:tc>
          <w:tcPr>
            <w:tcW w:w="6573" w:type="dxa"/>
            <w:vAlign w:val="center"/>
          </w:tcPr>
          <w:p w14:paraId="73058145">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（验收结果等内容）</w:t>
            </w:r>
          </w:p>
        </w:tc>
      </w:tr>
      <w:tr w14:paraId="6EEE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vAlign w:val="center"/>
          </w:tcPr>
          <w:p w14:paraId="0484756D">
            <w:pPr>
              <w:ind w:left="-107" w:leftChars="-52" w:right="-108" w:hanging="2"/>
              <w:jc w:val="center"/>
              <w:rPr>
                <w:rFonts w:ascii="宋体" w:hAnsi="宋体" w:eastAsia="宋体" w:cs="宋体"/>
                <w:szCs w:val="21"/>
                <w:highlight w:val="none"/>
              </w:rPr>
            </w:pPr>
          </w:p>
          <w:p w14:paraId="68998640">
            <w:pPr>
              <w:ind w:left="-107" w:leftChars="-52" w:right="-108" w:hanging="2"/>
              <w:jc w:val="center"/>
              <w:rPr>
                <w:rFonts w:ascii="宋体" w:hAnsi="宋体" w:eastAsia="宋体" w:cs="宋体"/>
                <w:szCs w:val="21"/>
                <w:highlight w:val="none"/>
              </w:rPr>
            </w:pPr>
          </w:p>
          <w:p w14:paraId="64C0332B">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履约执行部门认定意见</w:t>
            </w:r>
          </w:p>
        </w:tc>
        <w:tc>
          <w:tcPr>
            <w:tcW w:w="6573" w:type="dxa"/>
          </w:tcPr>
          <w:p w14:paraId="3C77E45E">
            <w:pPr>
              <w:ind w:left="-107" w:leftChars="-52" w:right="-108" w:hanging="2"/>
              <w:jc w:val="center"/>
              <w:rPr>
                <w:rFonts w:ascii="宋体" w:hAnsi="宋体" w:eastAsia="宋体" w:cs="宋体"/>
                <w:szCs w:val="21"/>
                <w:highlight w:val="none"/>
              </w:rPr>
            </w:pPr>
          </w:p>
          <w:p w14:paraId="5E80CBA1">
            <w:pPr>
              <w:ind w:left="-107" w:leftChars="-52" w:right="-108" w:hanging="2"/>
              <w:jc w:val="left"/>
              <w:rPr>
                <w:rFonts w:ascii="宋体" w:hAnsi="宋体" w:eastAsia="宋体" w:cs="宋体"/>
                <w:szCs w:val="21"/>
                <w:highlight w:val="none"/>
              </w:rPr>
            </w:pPr>
            <w:r>
              <w:rPr>
                <w:rFonts w:hint="eastAsia" w:ascii="宋体" w:hAnsi="宋体" w:eastAsia="宋体" w:cs="宋体"/>
                <w:szCs w:val="21"/>
                <w:highlight w:val="none"/>
              </w:rPr>
              <w:t>（履约执行部门确认验收报告，牵头形成验收结论。验收结论分为合格或不合格。履约执行部门对验收报告有异议的，应说明理由。）</w:t>
            </w:r>
          </w:p>
          <w:p w14:paraId="0E10C565">
            <w:pPr>
              <w:ind w:left="-107" w:leftChars="-52" w:right="-108" w:hanging="2"/>
              <w:jc w:val="center"/>
              <w:rPr>
                <w:rFonts w:ascii="宋体" w:hAnsi="宋体" w:eastAsia="宋体" w:cs="宋体"/>
                <w:szCs w:val="21"/>
                <w:highlight w:val="none"/>
              </w:rPr>
            </w:pPr>
          </w:p>
          <w:p w14:paraId="3471685E">
            <w:pPr>
              <w:ind w:left="-107" w:leftChars="-52" w:right="-108" w:hanging="2"/>
              <w:jc w:val="center"/>
              <w:rPr>
                <w:rFonts w:ascii="宋体" w:hAnsi="宋体" w:eastAsia="宋体" w:cs="宋体"/>
                <w:szCs w:val="21"/>
                <w:highlight w:val="none"/>
              </w:rPr>
            </w:pPr>
          </w:p>
          <w:p w14:paraId="7DBDAC38">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验收结论：验收合格/验收不合格</w:t>
            </w:r>
          </w:p>
          <w:p w14:paraId="7084EAE2">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w:t>
            </w:r>
          </w:p>
          <w:p w14:paraId="3633DAC3">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部门负责人签字：         </w:t>
            </w:r>
          </w:p>
          <w:p w14:paraId="7E5C2BA6">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w:t>
            </w:r>
          </w:p>
          <w:p w14:paraId="31038414">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年  月  日  </w:t>
            </w:r>
          </w:p>
        </w:tc>
      </w:tr>
      <w:tr w14:paraId="7722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bottom w:val="single" w:color="auto" w:sz="4" w:space="0"/>
            </w:tcBorders>
            <w:vAlign w:val="center"/>
          </w:tcPr>
          <w:p w14:paraId="597BDF46">
            <w:pPr>
              <w:ind w:left="-107" w:leftChars="-52" w:right="-108" w:hanging="2"/>
              <w:jc w:val="center"/>
              <w:rPr>
                <w:rFonts w:ascii="宋体" w:hAnsi="宋体" w:eastAsia="宋体" w:cs="宋体"/>
                <w:szCs w:val="21"/>
                <w:highlight w:val="none"/>
              </w:rPr>
            </w:pPr>
          </w:p>
          <w:p w14:paraId="003165A9">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履约监督部门（人员）复核意见</w:t>
            </w:r>
          </w:p>
        </w:tc>
        <w:tc>
          <w:tcPr>
            <w:tcW w:w="6573" w:type="dxa"/>
            <w:tcBorders>
              <w:bottom w:val="single" w:color="auto" w:sz="4" w:space="0"/>
            </w:tcBorders>
          </w:tcPr>
          <w:p w14:paraId="0215C716">
            <w:pPr>
              <w:ind w:left="-107" w:leftChars="-52" w:right="-108" w:hanging="2"/>
              <w:jc w:val="center"/>
              <w:rPr>
                <w:rFonts w:ascii="宋体" w:hAnsi="宋体" w:eastAsia="宋体" w:cs="宋体"/>
                <w:szCs w:val="21"/>
                <w:highlight w:val="none"/>
              </w:rPr>
            </w:pPr>
          </w:p>
          <w:p w14:paraId="18833D6F">
            <w:pPr>
              <w:ind w:left="-107" w:leftChars="-52" w:right="-108" w:hanging="2"/>
              <w:jc w:val="left"/>
              <w:rPr>
                <w:rFonts w:ascii="宋体" w:hAnsi="宋体" w:eastAsia="宋体" w:cs="宋体"/>
                <w:szCs w:val="21"/>
                <w:highlight w:val="none"/>
              </w:rPr>
            </w:pPr>
            <w:r>
              <w:rPr>
                <w:rFonts w:hint="eastAsia" w:ascii="宋体" w:hAnsi="宋体" w:eastAsia="宋体" w:cs="宋体"/>
                <w:szCs w:val="21"/>
                <w:highlight w:val="none"/>
              </w:rPr>
              <w:t>（履约执行部门（人员）在验收后、提请付款前，应将验收报告、验收结论交由履约监督部门（人员）复核。履约监督部门（人员）可在此处直接出具复核意见，也可另行出具书面材料。）</w:t>
            </w:r>
          </w:p>
          <w:p w14:paraId="7DD89424">
            <w:pPr>
              <w:ind w:left="-107" w:leftChars="-52" w:right="-108" w:hanging="2"/>
              <w:jc w:val="center"/>
              <w:rPr>
                <w:rFonts w:ascii="宋体" w:hAnsi="宋体" w:eastAsia="宋体" w:cs="宋体"/>
                <w:szCs w:val="21"/>
                <w:highlight w:val="none"/>
              </w:rPr>
            </w:pPr>
          </w:p>
          <w:p w14:paraId="78B8184E">
            <w:pPr>
              <w:ind w:left="-107" w:leftChars="-52" w:right="-108" w:hanging="2"/>
              <w:jc w:val="center"/>
              <w:rPr>
                <w:rFonts w:ascii="宋体" w:hAnsi="宋体" w:eastAsia="宋体" w:cs="宋体"/>
                <w:szCs w:val="21"/>
                <w:highlight w:val="none"/>
              </w:rPr>
            </w:pPr>
          </w:p>
          <w:p w14:paraId="49896E3C">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验收结论与合同约定一致/不一致</w:t>
            </w:r>
          </w:p>
          <w:p w14:paraId="3856BE0D">
            <w:pPr>
              <w:ind w:left="-107" w:leftChars="-52" w:right="-108" w:hanging="2"/>
              <w:jc w:val="center"/>
              <w:rPr>
                <w:rFonts w:ascii="宋体" w:hAnsi="宋体" w:eastAsia="宋体" w:cs="宋体"/>
                <w:szCs w:val="21"/>
                <w:highlight w:val="none"/>
              </w:rPr>
            </w:pPr>
          </w:p>
          <w:p w14:paraId="72C5D2C9">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签字：</w:t>
            </w:r>
          </w:p>
          <w:p w14:paraId="2A344F99">
            <w:pPr>
              <w:ind w:left="-107" w:leftChars="-52" w:right="-108" w:hanging="2"/>
              <w:jc w:val="center"/>
              <w:rPr>
                <w:rFonts w:ascii="宋体" w:hAnsi="宋体" w:eastAsia="宋体" w:cs="宋体"/>
                <w:szCs w:val="21"/>
                <w:highlight w:val="none"/>
              </w:rPr>
            </w:pPr>
          </w:p>
          <w:p w14:paraId="33DE6DAF">
            <w:pPr>
              <w:ind w:left="-107" w:leftChars="-52" w:right="-108" w:hanging="2"/>
              <w:jc w:val="center"/>
              <w:rPr>
                <w:rFonts w:ascii="宋体" w:hAnsi="宋体" w:eastAsia="宋体" w:cs="宋体"/>
                <w:szCs w:val="21"/>
                <w:highlight w:val="none"/>
              </w:rPr>
            </w:pPr>
            <w:r>
              <w:rPr>
                <w:rFonts w:hint="eastAsia" w:ascii="宋体" w:hAnsi="宋体" w:eastAsia="宋体" w:cs="宋体"/>
                <w:szCs w:val="21"/>
                <w:highlight w:val="none"/>
              </w:rPr>
              <w:t xml:space="preserve">                                             年  月  日 </w:t>
            </w:r>
          </w:p>
        </w:tc>
      </w:tr>
    </w:tbl>
    <w:p w14:paraId="07B61643">
      <w:pPr>
        <w:ind w:left="420" w:hanging="420" w:hangingChars="200"/>
        <w:rPr>
          <w:rFonts w:ascii="宋体" w:hAnsi="宋体" w:eastAsia="宋体" w:cs="宋体"/>
          <w:szCs w:val="21"/>
          <w:highlight w:val="none"/>
        </w:rPr>
      </w:pPr>
      <w:r>
        <w:rPr>
          <w:rFonts w:hint="eastAsia" w:ascii="宋体" w:hAnsi="宋体" w:eastAsia="宋体" w:cs="宋体"/>
          <w:szCs w:val="21"/>
          <w:highlight w:val="none"/>
        </w:rPr>
        <w:t>注：可根据实际情况调整内容或另附页，但不得删减关键要素内容。</w:t>
      </w:r>
    </w:p>
    <w:p w14:paraId="6F80BD50">
      <w:pPr>
        <w:spacing w:line="360" w:lineRule="auto"/>
        <w:rPr>
          <w:rFonts w:ascii="宋体" w:hAnsi="宋体" w:eastAsia="宋体" w:cs="宋体"/>
          <w:szCs w:val="21"/>
          <w:highlight w:val="none"/>
        </w:rPr>
      </w:pPr>
    </w:p>
    <w:p w14:paraId="38EB9003">
      <w:pPr>
        <w:spacing w:after="936" w:afterLines="300" w:line="276" w:lineRule="auto"/>
        <w:rPr>
          <w:rFonts w:ascii="Times New Roman" w:hAnsi="Times New Roman" w:eastAsia="宋体" w:cs="Times New Roman"/>
          <w:b/>
          <w:kern w:val="0"/>
          <w:sz w:val="28"/>
          <w:szCs w:val="28"/>
          <w:highlight w:val="none"/>
        </w:rPr>
      </w:pPr>
    </w:p>
    <w:p w14:paraId="400096EF">
      <w:pPr>
        <w:spacing w:line="560" w:lineRule="exact"/>
        <w:ind w:left="-65"/>
        <w:jc w:val="left"/>
        <w:rPr>
          <w:rFonts w:ascii="仿宋" w:hAnsi="仿宋" w:eastAsia="仿宋" w:cs="Times New Roman"/>
          <w:sz w:val="28"/>
          <w:szCs w:val="28"/>
          <w:highlight w:val="none"/>
        </w:rPr>
      </w:pPr>
    </w:p>
    <w:p w14:paraId="48E0011E">
      <w:pPr>
        <w:rPr>
          <w:highlight w:val="none"/>
        </w:rPr>
      </w:pPr>
    </w:p>
    <w:sectPr>
      <w:footerReference r:id="rId4" w:type="default"/>
      <w:pgSz w:w="11906" w:h="16838"/>
      <w:pgMar w:top="1440" w:right="924" w:bottom="1440" w:left="1402" w:header="851" w:footer="992" w:gutter="0"/>
      <w:pgNumType w:start="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utura Bk">
    <w:altName w:val="Century Gothic"/>
    <w:panose1 w:val="00000000000000000000"/>
    <w:charset w:val="00"/>
    <w:family w:val="swiss"/>
    <w:pitch w:val="default"/>
    <w:sig w:usb0="00000000" w:usb1="00000000" w:usb2="00000000" w:usb3="00000000" w:csb0="0000009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EAC4">
    <w:pPr>
      <w:pStyle w:val="6"/>
      <w:jc w:val="center"/>
    </w:pPr>
    <w:r>
      <w:rPr>
        <w:rFonts w:hint="eastAsia" w:cs="宋体"/>
      </w:rPr>
      <w:t>第</w:t>
    </w:r>
    <w:r>
      <w:t xml:space="preserve"> </w:t>
    </w:r>
    <w:r>
      <w:fldChar w:fldCharType="begin"/>
    </w:r>
    <w:r>
      <w:instrText xml:space="preserve"> PAGE </w:instrText>
    </w:r>
    <w:r>
      <w:fldChar w:fldCharType="separate"/>
    </w:r>
    <w:r>
      <w:t>2</w:t>
    </w:r>
    <w:r>
      <w:fldChar w:fldCharType="end"/>
    </w:r>
    <w:r>
      <w:t xml:space="preserve"> </w:t>
    </w:r>
    <w:r>
      <w:rPr>
        <w:rFonts w:hint="eastAsia" w:cs="宋体"/>
      </w:rPr>
      <w:t>页</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ED2D9">
    <w:pPr>
      <w:pStyle w:val="6"/>
      <w:jc w:val="center"/>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9</w:t>
    </w:r>
    <w:r>
      <w:rPr>
        <w:rFonts w:ascii="宋体" w:hAnsi="宋体"/>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B49DB"/>
    <w:multiLevelType w:val="singleLevel"/>
    <w:tmpl w:val="817B49DB"/>
    <w:lvl w:ilvl="0" w:tentative="0">
      <w:start w:val="1"/>
      <w:numFmt w:val="decimal"/>
      <w:suff w:val="nothing"/>
      <w:lvlText w:val="%1、"/>
      <w:lvlJc w:val="left"/>
    </w:lvl>
  </w:abstractNum>
  <w:abstractNum w:abstractNumId="1">
    <w:nsid w:val="A5B85111"/>
    <w:multiLevelType w:val="singleLevel"/>
    <w:tmpl w:val="A5B85111"/>
    <w:lvl w:ilvl="0" w:tentative="0">
      <w:start w:val="1"/>
      <w:numFmt w:val="decimal"/>
      <w:suff w:val="space"/>
      <w:lvlText w:val="%1."/>
      <w:lvlJc w:val="left"/>
    </w:lvl>
  </w:abstractNum>
  <w:abstractNum w:abstractNumId="2">
    <w:nsid w:val="00000011"/>
    <w:multiLevelType w:val="multilevel"/>
    <w:tmpl w:val="00000011"/>
    <w:lvl w:ilvl="0" w:tentative="0">
      <w:start w:val="1"/>
      <w:numFmt w:val="decimal"/>
      <w:pStyle w:val="2"/>
      <w:lvlText w:val="%1"/>
      <w:lvlJc w:val="left"/>
      <w:pPr>
        <w:tabs>
          <w:tab w:val="left" w:pos="799"/>
        </w:tabs>
        <w:ind w:left="799" w:hanging="432"/>
      </w:pPr>
      <w:rPr>
        <w:rFonts w:hint="eastAsia"/>
      </w:rPr>
    </w:lvl>
    <w:lvl w:ilvl="1" w:tentative="0">
      <w:start w:val="1"/>
      <w:numFmt w:val="decimal"/>
      <w:pStyle w:val="3"/>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3">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4">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6"/>
        </w:tabs>
        <w:ind w:left="786"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76D3939"/>
    <w:multiLevelType w:val="multilevel"/>
    <w:tmpl w:val="276D3939"/>
    <w:lvl w:ilvl="0" w:tentative="0">
      <w:start w:val="1"/>
      <w:numFmt w:val="japaneseCounting"/>
      <w:lvlText w:val="%1、"/>
      <w:lvlJc w:val="left"/>
      <w:pPr>
        <w:tabs>
          <w:tab w:val="left" w:pos="765"/>
        </w:tabs>
        <w:ind w:left="765" w:hanging="405"/>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58EEEFE0"/>
    <w:multiLevelType w:val="singleLevel"/>
    <w:tmpl w:val="58EEEFE0"/>
    <w:lvl w:ilvl="0" w:tentative="0">
      <w:start w:val="1"/>
      <w:numFmt w:val="decimal"/>
      <w:suff w:val="nothing"/>
      <w:lvlText w:val="%1、"/>
      <w:lvlJc w:val="left"/>
    </w:lvl>
  </w:abstractNum>
  <w:abstractNum w:abstractNumId="14">
    <w:nsid w:val="5C67A041"/>
    <w:multiLevelType w:val="singleLevel"/>
    <w:tmpl w:val="5C67A041"/>
    <w:lvl w:ilvl="0" w:tentative="0">
      <w:start w:val="4"/>
      <w:numFmt w:val="chineseCounting"/>
      <w:suff w:val="nothing"/>
      <w:lvlText w:val="（%1）"/>
      <w:lvlJc w:val="left"/>
      <w:rPr>
        <w:rFonts w:hint="eastAsia"/>
      </w:rPr>
    </w:lvl>
  </w:abstractNum>
  <w:abstractNum w:abstractNumId="15">
    <w:nsid w:val="6242A4C0"/>
    <w:multiLevelType w:val="singleLevel"/>
    <w:tmpl w:val="6242A4C0"/>
    <w:lvl w:ilvl="0" w:tentative="0">
      <w:start w:val="1"/>
      <w:numFmt w:val="decimal"/>
      <w:suff w:val="space"/>
      <w:lvlText w:val="%1、"/>
      <w:lvlJc w:val="left"/>
      <w:pPr>
        <w:ind w:left="0" w:firstLine="0"/>
      </w:pPr>
      <w:rPr>
        <w:rFonts w:hint="eastAsia"/>
      </w:rPr>
    </w:lvl>
  </w:abstractNum>
  <w:abstractNum w:abstractNumId="16">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17">
    <w:nsid w:val="7360021A"/>
    <w:multiLevelType w:val="multilevel"/>
    <w:tmpl w:val="7360021A"/>
    <w:lvl w:ilvl="0" w:tentative="0">
      <w:start w:val="1"/>
      <w:numFmt w:val="decimal"/>
      <w:lvlText w:val="%1、"/>
      <w:lvlJc w:val="left"/>
      <w:pPr>
        <w:ind w:left="705" w:hanging="705"/>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36BACD5"/>
    <w:multiLevelType w:val="singleLevel"/>
    <w:tmpl w:val="736BACD5"/>
    <w:lvl w:ilvl="0" w:tentative="0">
      <w:start w:val="1"/>
      <w:numFmt w:val="decimal"/>
      <w:suff w:val="nothing"/>
      <w:lvlText w:val="%1、"/>
      <w:lvlJc w:val="left"/>
    </w:lvl>
  </w:abstractNum>
  <w:abstractNum w:abstractNumId="19">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20">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7"/>
  </w:num>
  <w:num w:numId="3">
    <w:abstractNumId w:val="19"/>
  </w:num>
  <w:num w:numId="4">
    <w:abstractNumId w:val="12"/>
  </w:num>
  <w:num w:numId="5">
    <w:abstractNumId w:val="21"/>
  </w:num>
  <w:num w:numId="6">
    <w:abstractNumId w:val="10"/>
  </w:num>
  <w:num w:numId="7">
    <w:abstractNumId w:val="16"/>
  </w:num>
  <w:num w:numId="8">
    <w:abstractNumId w:val="6"/>
  </w:num>
  <w:num w:numId="9">
    <w:abstractNumId w:val="5"/>
  </w:num>
  <w:num w:numId="10">
    <w:abstractNumId w:val="14"/>
  </w:num>
  <w:num w:numId="11">
    <w:abstractNumId w:val="8"/>
  </w:num>
  <w:num w:numId="12">
    <w:abstractNumId w:val="20"/>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0"/>
  </w:num>
  <w:num w:numId="16">
    <w:abstractNumId w:val="1"/>
  </w:num>
  <w:num w:numId="17">
    <w:abstractNumId w:val="9"/>
  </w:num>
  <w:num w:numId="18">
    <w:abstractNumId w:val="11"/>
  </w:num>
  <w:num w:numId="19">
    <w:abstractNumId w:val="4"/>
  </w:num>
  <w:num w:numId="20">
    <w:abstractNumId w:val="13"/>
  </w:num>
  <w:num w:numId="21">
    <w:abstractNumId w:val="15"/>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F5ABC"/>
    <w:rsid w:val="00047D5A"/>
    <w:rsid w:val="00143B9A"/>
    <w:rsid w:val="0015133A"/>
    <w:rsid w:val="00181051"/>
    <w:rsid w:val="001D12D6"/>
    <w:rsid w:val="00221D07"/>
    <w:rsid w:val="002573B0"/>
    <w:rsid w:val="002C0188"/>
    <w:rsid w:val="00342719"/>
    <w:rsid w:val="00385DBA"/>
    <w:rsid w:val="00397BC4"/>
    <w:rsid w:val="003A101D"/>
    <w:rsid w:val="00450C19"/>
    <w:rsid w:val="00457F79"/>
    <w:rsid w:val="004A423D"/>
    <w:rsid w:val="006832DF"/>
    <w:rsid w:val="006B36DB"/>
    <w:rsid w:val="006C7ED1"/>
    <w:rsid w:val="00725ACE"/>
    <w:rsid w:val="00761A50"/>
    <w:rsid w:val="007722FB"/>
    <w:rsid w:val="007C56E7"/>
    <w:rsid w:val="00827C5D"/>
    <w:rsid w:val="00835201"/>
    <w:rsid w:val="008C4FAF"/>
    <w:rsid w:val="00922777"/>
    <w:rsid w:val="009B0DF5"/>
    <w:rsid w:val="00AC5B01"/>
    <w:rsid w:val="00AC7535"/>
    <w:rsid w:val="00B9745E"/>
    <w:rsid w:val="00BD6733"/>
    <w:rsid w:val="00C4032B"/>
    <w:rsid w:val="00C6189B"/>
    <w:rsid w:val="00C912B4"/>
    <w:rsid w:val="00CA0CDF"/>
    <w:rsid w:val="00DD6D0B"/>
    <w:rsid w:val="00DF5ABC"/>
    <w:rsid w:val="00E22B10"/>
    <w:rsid w:val="00E563CB"/>
    <w:rsid w:val="00E651A8"/>
    <w:rsid w:val="00F42D8D"/>
    <w:rsid w:val="00FA3A57"/>
    <w:rsid w:val="00FC7144"/>
    <w:rsid w:val="00FF10FF"/>
    <w:rsid w:val="00FF236E"/>
    <w:rsid w:val="01CE225D"/>
    <w:rsid w:val="02247ACE"/>
    <w:rsid w:val="03AE7D19"/>
    <w:rsid w:val="0490057E"/>
    <w:rsid w:val="05174700"/>
    <w:rsid w:val="06E87DD2"/>
    <w:rsid w:val="08AF1448"/>
    <w:rsid w:val="09012917"/>
    <w:rsid w:val="0E161B9F"/>
    <w:rsid w:val="0FB71F81"/>
    <w:rsid w:val="110F7B9B"/>
    <w:rsid w:val="11551602"/>
    <w:rsid w:val="11F20F84"/>
    <w:rsid w:val="12F64B6E"/>
    <w:rsid w:val="134912F4"/>
    <w:rsid w:val="16094BB9"/>
    <w:rsid w:val="18415193"/>
    <w:rsid w:val="18C474BD"/>
    <w:rsid w:val="1B903686"/>
    <w:rsid w:val="1BD143CB"/>
    <w:rsid w:val="1C827473"/>
    <w:rsid w:val="1E4328AA"/>
    <w:rsid w:val="1FB562F6"/>
    <w:rsid w:val="202F7587"/>
    <w:rsid w:val="20A71936"/>
    <w:rsid w:val="2630525B"/>
    <w:rsid w:val="26FA1803"/>
    <w:rsid w:val="286B34B1"/>
    <w:rsid w:val="2AD27817"/>
    <w:rsid w:val="2B5419AD"/>
    <w:rsid w:val="2C6323D9"/>
    <w:rsid w:val="2CF2108F"/>
    <w:rsid w:val="2D2354DA"/>
    <w:rsid w:val="2E3E2C10"/>
    <w:rsid w:val="2EF04710"/>
    <w:rsid w:val="2F3417CA"/>
    <w:rsid w:val="2FCC5506"/>
    <w:rsid w:val="30962FC4"/>
    <w:rsid w:val="31357A44"/>
    <w:rsid w:val="32220B9C"/>
    <w:rsid w:val="3237029D"/>
    <w:rsid w:val="344A6670"/>
    <w:rsid w:val="347B4A7C"/>
    <w:rsid w:val="34F5482E"/>
    <w:rsid w:val="35E30B2B"/>
    <w:rsid w:val="36FC068F"/>
    <w:rsid w:val="37533CE9"/>
    <w:rsid w:val="37B26A07"/>
    <w:rsid w:val="39192994"/>
    <w:rsid w:val="3A4620B3"/>
    <w:rsid w:val="3C8B5A78"/>
    <w:rsid w:val="3FD17C46"/>
    <w:rsid w:val="401F6C03"/>
    <w:rsid w:val="404E7C83"/>
    <w:rsid w:val="4981092F"/>
    <w:rsid w:val="4B3A62C6"/>
    <w:rsid w:val="4DAD6D8C"/>
    <w:rsid w:val="4E1C6E78"/>
    <w:rsid w:val="50CE26AB"/>
    <w:rsid w:val="51281690"/>
    <w:rsid w:val="52253092"/>
    <w:rsid w:val="53125815"/>
    <w:rsid w:val="53244F3C"/>
    <w:rsid w:val="563A433F"/>
    <w:rsid w:val="61297885"/>
    <w:rsid w:val="61330309"/>
    <w:rsid w:val="62F2020F"/>
    <w:rsid w:val="63C43466"/>
    <w:rsid w:val="64550596"/>
    <w:rsid w:val="655D4175"/>
    <w:rsid w:val="67154518"/>
    <w:rsid w:val="692C5576"/>
    <w:rsid w:val="6B6A0981"/>
    <w:rsid w:val="6BFA684D"/>
    <w:rsid w:val="6C3D203B"/>
    <w:rsid w:val="6D184B8E"/>
    <w:rsid w:val="6EA2262A"/>
    <w:rsid w:val="6F3D61C6"/>
    <w:rsid w:val="6F45177F"/>
    <w:rsid w:val="6FB22D40"/>
    <w:rsid w:val="6FD64C81"/>
    <w:rsid w:val="7084648B"/>
    <w:rsid w:val="73356613"/>
    <w:rsid w:val="73AB1F81"/>
    <w:rsid w:val="74E13933"/>
    <w:rsid w:val="75F17E87"/>
    <w:rsid w:val="782B6F27"/>
    <w:rsid w:val="79ED5023"/>
    <w:rsid w:val="7A173D01"/>
    <w:rsid w:val="7AFD10AD"/>
    <w:rsid w:val="7C5E2286"/>
    <w:rsid w:val="7DD24CD9"/>
    <w:rsid w:val="7F115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0"/>
    <w:qFormat/>
    <w:uiPriority w:val="0"/>
    <w:pPr>
      <w:keepNext/>
      <w:numPr>
        <w:ilvl w:val="0"/>
        <w:numId w:val="1"/>
      </w:numPr>
      <w:spacing w:before="240" w:after="60"/>
      <w:outlineLvl w:val="0"/>
    </w:pPr>
    <w:rPr>
      <w:rFonts w:ascii="Futura Bk" w:hAnsi="Futura Bk"/>
      <w:b/>
      <w:kern w:val="28"/>
      <w:sz w:val="28"/>
    </w:rPr>
  </w:style>
  <w:style w:type="paragraph" w:styleId="3">
    <w:name w:val="heading 2"/>
    <w:basedOn w:val="1"/>
    <w:next w:val="1"/>
    <w:link w:val="11"/>
    <w:qFormat/>
    <w:uiPriority w:val="0"/>
    <w:pPr>
      <w:keepNext/>
      <w:numPr>
        <w:ilvl w:val="1"/>
        <w:numId w:val="1"/>
      </w:numPr>
      <w:spacing w:before="240" w:after="60"/>
      <w:outlineLvl w:val="1"/>
    </w:pPr>
    <w:rPr>
      <w:rFonts w:ascii="Futura Bk" w:hAnsi="Futura Bk"/>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style>
  <w:style w:type="paragraph" w:styleId="5">
    <w:name w:val="Body Text Indent"/>
    <w:basedOn w:val="1"/>
    <w:qFormat/>
    <w:uiPriority w:val="0"/>
    <w:pPr>
      <w:spacing w:line="360" w:lineRule="auto"/>
      <w:ind w:left="130" w:leftChars="62" w:firstLine="390" w:firstLineChars="150"/>
    </w:pPr>
    <w:rPr>
      <w:rFonts w:ascii="宋体" w:hAnsi="Times New Roman" w:eastAsia="宋体" w:cs="Times New Roman"/>
      <w:spacing w:val="10"/>
      <w:kern w:val="0"/>
      <w:sz w:val="24"/>
      <w:szCs w:val="20"/>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字符"/>
    <w:basedOn w:val="9"/>
    <w:link w:val="2"/>
    <w:qFormat/>
    <w:uiPriority w:val="0"/>
    <w:rPr>
      <w:rFonts w:ascii="Futura Bk" w:hAnsi="Futura Bk" w:eastAsia="宋体" w:cs="Times New Roman"/>
      <w:b/>
      <w:kern w:val="28"/>
      <w:sz w:val="28"/>
    </w:rPr>
  </w:style>
  <w:style w:type="character" w:customStyle="1" w:styleId="11">
    <w:name w:val="标题 2 字符"/>
    <w:basedOn w:val="9"/>
    <w:link w:val="3"/>
    <w:qFormat/>
    <w:uiPriority w:val="0"/>
    <w:rPr>
      <w:rFonts w:ascii="Futura Bk" w:hAnsi="Futura Bk" w:eastAsia="宋体" w:cs="Times New Roman"/>
      <w:b/>
      <w:sz w:val="24"/>
    </w:rPr>
  </w:style>
  <w:style w:type="character" w:customStyle="1" w:styleId="12">
    <w:name w:val="页脚 字符"/>
    <w:basedOn w:val="9"/>
    <w:link w:val="6"/>
    <w:qFormat/>
    <w:uiPriority w:val="99"/>
    <w:rPr>
      <w:rFonts w:ascii="Calibri" w:hAnsi="Calibri" w:eastAsia="宋体" w:cs="Times New Roman"/>
      <w:sz w:val="18"/>
      <w:szCs w:val="18"/>
    </w:rPr>
  </w:style>
  <w:style w:type="character" w:customStyle="1" w:styleId="13">
    <w:name w:val="列表段落 字符"/>
    <w:link w:val="14"/>
    <w:qFormat/>
    <w:uiPriority w:val="34"/>
    <w:rPr>
      <w:rFonts w:ascii="Times New Roman" w:hAnsi="Times New Roman" w:eastAsia="宋体" w:cs="Times New Roman"/>
      <w:spacing w:val="-2"/>
      <w:kern w:val="0"/>
      <w:sz w:val="24"/>
      <w:szCs w:val="20"/>
    </w:rPr>
  </w:style>
  <w:style w:type="paragraph" w:styleId="14">
    <w:name w:val="List Paragraph"/>
    <w:basedOn w:val="1"/>
    <w:link w:val="13"/>
    <w:qFormat/>
    <w:uiPriority w:val="34"/>
    <w:pPr>
      <w:snapToGrid w:val="0"/>
      <w:ind w:firstLine="420" w:firstLineChars="200"/>
    </w:pPr>
    <w:rPr>
      <w:rFonts w:ascii="Times New Roman" w:hAnsi="Times New Roman"/>
      <w:spacing w:val="-2"/>
      <w:kern w:val="0"/>
      <w:sz w:val="24"/>
      <w:szCs w:val="20"/>
    </w:rPr>
  </w:style>
  <w:style w:type="paragraph" w:customStyle="1" w:styleId="15">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6">
    <w:name w:val="页眉 字符"/>
    <w:basedOn w:val="9"/>
    <w:link w:val="7"/>
    <w:qFormat/>
    <w:uiPriority w:val="99"/>
    <w:rPr>
      <w:rFonts w:ascii="Calibri" w:hAnsi="Calibri" w:eastAsia="宋体" w:cs="Times New Roman"/>
      <w:sz w:val="18"/>
      <w:szCs w:val="18"/>
    </w:rPr>
  </w:style>
  <w:style w:type="paragraph" w:customStyle="1" w:styleId="17">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844</Words>
  <Characters>4817</Characters>
  <Lines>40</Lines>
  <Paragraphs>11</Paragraphs>
  <TotalTime>36</TotalTime>
  <ScaleCrop>false</ScaleCrop>
  <LinksUpToDate>false</LinksUpToDate>
  <CharactersWithSpaces>5650</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dcterms:modified xsi:type="dcterms:W3CDTF">2025-09-30T02:55:07Z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3843BF8B02214367A7EA11CCDF211C3B_12</vt:lpwstr>
  </property>
</Properties>
</file>