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Times New Roman" w:asciiTheme="minorEastAsia" w:hAnsiTheme="minorEastAsia"/>
          <w:b/>
          <w:snapToGrid w:val="0"/>
          <w:spacing w:val="-2"/>
          <w:kern w:val="0"/>
          <w:sz w:val="36"/>
          <w:szCs w:val="20"/>
        </w:rPr>
      </w:pPr>
      <w:r>
        <w:rPr>
          <w:rFonts w:hint="eastAsia" w:cs="Times New Roman" w:asciiTheme="minorEastAsia" w:hAnsiTheme="minorEastAsia"/>
          <w:b/>
          <w:snapToGrid w:val="0"/>
          <w:spacing w:val="-2"/>
          <w:kern w:val="0"/>
          <w:sz w:val="36"/>
          <w:szCs w:val="20"/>
        </w:rPr>
        <w:t>上海黄金交易所</w:t>
      </w:r>
    </w:p>
    <w:p>
      <w:pPr>
        <w:autoSpaceDE w:val="0"/>
        <w:autoSpaceDN w:val="0"/>
        <w:adjustRightInd w:val="0"/>
        <w:spacing w:line="360" w:lineRule="auto"/>
        <w:jc w:val="center"/>
        <w:rPr>
          <w:rFonts w:cs="Times New Roman" w:asciiTheme="minorEastAsia" w:hAnsiTheme="minorEastAsia"/>
          <w:b/>
          <w:snapToGrid w:val="0"/>
          <w:spacing w:val="-2"/>
          <w:kern w:val="0"/>
          <w:sz w:val="36"/>
          <w:szCs w:val="20"/>
        </w:rPr>
      </w:pPr>
      <w:r>
        <w:rPr>
          <w:rFonts w:hint="eastAsia" w:cs="Times New Roman" w:asciiTheme="minorEastAsia" w:hAnsiTheme="minorEastAsia"/>
          <w:b/>
          <w:snapToGrid w:val="0"/>
          <w:spacing w:val="-2"/>
          <w:kern w:val="0"/>
          <w:sz w:val="36"/>
          <w:szCs w:val="20"/>
        </w:rPr>
        <w:t>2024至2025年达梦数据库原厂服务采购书</w:t>
      </w:r>
    </w:p>
    <w:p>
      <w:pPr>
        <w:spacing w:line="360" w:lineRule="auto"/>
        <w:ind w:left="-720" w:firstLine="720"/>
        <w:rPr>
          <w:rFonts w:cs="Times New Roman" w:asciiTheme="minorEastAsia" w:hAnsiTheme="minorEastAsia"/>
          <w:b/>
          <w:snapToGrid w:val="0"/>
          <w:spacing w:val="-2"/>
          <w:kern w:val="0"/>
          <w:sz w:val="36"/>
          <w:szCs w:val="20"/>
        </w:rPr>
      </w:pPr>
    </w:p>
    <w:p>
      <w:pPr>
        <w:autoSpaceDE w:val="0"/>
        <w:autoSpaceDN w:val="0"/>
        <w:adjustRightInd w:val="0"/>
        <w:outlineLvl w:val="0"/>
        <w:rPr>
          <w:rFonts w:ascii="黑体" w:eastAsia="黑体" w:cs="黑体"/>
          <w:kern w:val="0"/>
          <w:sz w:val="28"/>
          <w:szCs w:val="28"/>
        </w:rPr>
      </w:pPr>
      <w:r>
        <w:rPr>
          <w:rFonts w:hint="eastAsia" w:ascii="黑体" w:eastAsia="黑体" w:cs="黑体"/>
          <w:kern w:val="0"/>
          <w:sz w:val="28"/>
          <w:szCs w:val="28"/>
        </w:rPr>
        <w:t>一、项目需求</w:t>
      </w:r>
    </w:p>
    <w:p>
      <w:pPr>
        <w:autoSpaceDE w:val="0"/>
        <w:autoSpaceDN w:val="0"/>
        <w:adjustRightInd w:val="0"/>
        <w:spacing w:line="360" w:lineRule="auto"/>
        <w:ind w:firstLine="480" w:firstLineChars="200"/>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、项目名称：上海黄金交易所2024至2025年达梦数据库原厂服务采购。</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eastAsia="宋体" w:cs="宋体"/>
          <w:kern w:val="0"/>
          <w:sz w:val="24"/>
          <w:szCs w:val="24"/>
        </w:rPr>
        <w:t>2</w:t>
      </w:r>
      <w:r>
        <w:rPr>
          <w:rFonts w:hint="eastAsia" w:ascii="宋体" w:eastAsia="宋体" w:cs="宋体"/>
          <w:kern w:val="0"/>
          <w:sz w:val="24"/>
          <w:szCs w:val="24"/>
        </w:rPr>
        <w:t>、采购</w:t>
      </w:r>
      <w:r>
        <w:rPr>
          <w:rFonts w:ascii="宋体" w:eastAsia="宋体" w:cs="宋体"/>
          <w:kern w:val="0"/>
          <w:sz w:val="24"/>
          <w:szCs w:val="24"/>
        </w:rPr>
        <w:t>需求</w:t>
      </w:r>
      <w:r>
        <w:rPr>
          <w:rFonts w:hint="eastAsia" w:ascii="宋体" w:eastAsia="宋体" w:cs="宋体"/>
          <w:kern w:val="0"/>
          <w:sz w:val="24"/>
          <w:szCs w:val="24"/>
        </w:rPr>
        <w:t>：见</w:t>
      </w:r>
      <w:r>
        <w:rPr>
          <w:rFonts w:ascii="宋体" w:eastAsia="宋体" w:cs="宋体"/>
          <w:kern w:val="0"/>
          <w:sz w:val="24"/>
          <w:szCs w:val="24"/>
        </w:rPr>
        <w:t>附件1</w:t>
      </w:r>
      <w:r>
        <w:rPr>
          <w:rFonts w:hint="eastAsia" w:ascii="宋体" w:eastAsia="宋体" w:cs="宋体"/>
          <w:kern w:val="0"/>
          <w:sz w:val="24"/>
          <w:szCs w:val="24"/>
        </w:rPr>
        <w:t>。</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3、投标</w:t>
      </w:r>
      <w:r>
        <w:rPr>
          <w:rFonts w:ascii="宋体" w:hAnsi="宋体" w:eastAsia="宋体" w:cs="宋体"/>
          <w:kern w:val="0"/>
          <w:sz w:val="24"/>
          <w:szCs w:val="24"/>
        </w:rPr>
        <w:t>金额</w:t>
      </w:r>
      <w:r>
        <w:rPr>
          <w:rFonts w:hint="eastAsia" w:ascii="宋体" w:hAnsi="宋体" w:eastAsia="宋体" w:cs="宋体"/>
          <w:kern w:val="0"/>
          <w:sz w:val="24"/>
          <w:szCs w:val="24"/>
        </w:rPr>
        <w:t>：小于30万元人民币（含税</w:t>
      </w:r>
      <w:r>
        <w:rPr>
          <w:rFonts w:ascii="宋体" w:hAnsi="宋体" w:eastAsia="宋体" w:cs="宋体"/>
          <w:kern w:val="0"/>
          <w:sz w:val="24"/>
          <w:szCs w:val="24"/>
        </w:rPr>
        <w:t>）</w:t>
      </w:r>
      <w:r>
        <w:rPr>
          <w:rFonts w:hint="eastAsia" w:ascii="宋体" w:hAnsi="宋体" w:eastAsia="宋体" w:cs="宋体"/>
          <w:kern w:val="0"/>
          <w:sz w:val="24"/>
          <w:szCs w:val="24"/>
        </w:rPr>
        <w:t>。</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4、投标保证金金额：6000元人民币。</w:t>
      </w:r>
    </w:p>
    <w:p>
      <w:pPr>
        <w:autoSpaceDE w:val="0"/>
        <w:autoSpaceDN w:val="0"/>
        <w:adjustRightIn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注意</w:t>
      </w:r>
      <w:r>
        <w:rPr>
          <w:rFonts w:hint="eastAsia" w:ascii="宋体" w:hAnsi="宋体" w:eastAsia="宋体" w:cs="宋体"/>
          <w:kern w:val="0"/>
          <w:sz w:val="24"/>
          <w:szCs w:val="24"/>
        </w:rPr>
        <w:t>：</w:t>
      </w:r>
      <w:r>
        <w:rPr>
          <w:rFonts w:hint="eastAsia" w:ascii="宋体" w:hAnsi="宋体" w:eastAsia="宋体" w:cs="宋体"/>
          <w:b/>
          <w:kern w:val="0"/>
          <w:sz w:val="24"/>
          <w:szCs w:val="24"/>
        </w:rPr>
        <w:t>投标人递交的投标文件中应附有投标保证金的付款有效凭证复印件，投标保证金应当从投标人的基本账户转出，并写明账户信息，如开户行以及账号等，并在银行付款备注栏中注明该投标保证金所对应的项目名称。</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5、中标方式：</w:t>
      </w:r>
      <w:r>
        <w:rPr>
          <w:rFonts w:hint="eastAsia" w:ascii="宋体" w:hAnsi="宋体" w:eastAsia="宋体" w:cs="宋体"/>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p>
    <w:p>
      <w:pPr>
        <w:autoSpaceDE w:val="0"/>
        <w:autoSpaceDN w:val="0"/>
        <w:adjustRightInd w:val="0"/>
        <w:spacing w:before="100" w:beforeAutospacing="1" w:line="360" w:lineRule="auto"/>
        <w:outlineLvl w:val="0"/>
        <w:rPr>
          <w:rFonts w:ascii="黑体" w:eastAsia="黑体" w:cs="黑体"/>
          <w:kern w:val="0"/>
          <w:sz w:val="28"/>
          <w:szCs w:val="28"/>
        </w:rPr>
      </w:pPr>
      <w:r>
        <w:rPr>
          <w:rFonts w:hint="eastAsia" w:ascii="黑体" w:eastAsia="黑体" w:cs="黑体"/>
          <w:kern w:val="0"/>
          <w:sz w:val="28"/>
          <w:szCs w:val="28"/>
        </w:rPr>
        <w:t>二、商务要求</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1、投标人必须是在国内注册的独立法人或其他组织，提供营业执照（或事业单位、社会团体相关证书）的复印件（并加盖公章）。</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2、投标人必须能够提供上海本地化技术支持和服务。</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投标人可为产品制造商或产品代理商，如代理商投标，则须提供所有投标产品一年及以上的有效代理资质（如有必要可提供多份连续的代理资质证明文件，若所投产品的原厂无发放代理资质的政策，投标人须提供说明函并加盖公章）。</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投标人承诺，若中标，则无条件配合招标人完成“中国网络安全认证和市场监管大数据中心”的网络安全审查并提供审查所需材料。中标人的产品和服务须通过“中国网络安全认证和市场监管大数据中心”的网络安全审查，若未通过，招标人有权解除合同，并要求中标人退还招标人支付的全部款项（须提供承诺书并加盖投标人公章）。</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、投标人除提交投标总价外，须提供明细价格（如有）。</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、付款方式：中标人需须开具增值税专用发票，并接受以下付款方式：合同签订后，中标人提供原厂下单证明，招标人</w:t>
      </w:r>
      <w:r>
        <w:rPr>
          <w:rFonts w:ascii="宋体" w:hAnsi="宋体" w:eastAsia="宋体" w:cs="宋体"/>
          <w:kern w:val="0"/>
          <w:sz w:val="24"/>
          <w:szCs w:val="24"/>
        </w:rPr>
        <w:t>验收</w:t>
      </w:r>
      <w:r>
        <w:rPr>
          <w:rFonts w:hint="eastAsia" w:ascii="宋体" w:hAnsi="宋体" w:eastAsia="宋体" w:cs="宋体"/>
          <w:kern w:val="0"/>
          <w:sz w:val="24"/>
          <w:szCs w:val="24"/>
        </w:rPr>
        <w:t>通过</w:t>
      </w:r>
      <w:r>
        <w:rPr>
          <w:rFonts w:ascii="宋体" w:hAnsi="宋体" w:eastAsia="宋体" w:cs="宋体"/>
          <w:kern w:val="0"/>
          <w:sz w:val="24"/>
          <w:szCs w:val="24"/>
        </w:rPr>
        <w:t>后，</w:t>
      </w:r>
      <w:r>
        <w:rPr>
          <w:rFonts w:hint="eastAsia" w:ascii="宋体" w:hAnsi="宋体" w:eastAsia="宋体" w:cs="宋体"/>
          <w:kern w:val="0"/>
          <w:sz w:val="24"/>
          <w:szCs w:val="24"/>
        </w:rPr>
        <w:t>支付合同总金额的100%。</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、投标金额为含税金额，包括安装服务（如有）和产品出售的所有税费。</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、投标人须提交投标保证金，投标文件中应附有投标保证金的付款有效凭证复印件。</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w:t>
      </w:r>
      <w:r>
        <w:rPr>
          <w:rFonts w:ascii="宋体" w:hAnsi="宋体" w:eastAsia="宋体" w:cs="宋体"/>
          <w:kern w:val="0"/>
          <w:sz w:val="24"/>
          <w:szCs w:val="24"/>
        </w:rPr>
        <w:t>本项目不支持联合投标</w:t>
      </w:r>
      <w:r>
        <w:rPr>
          <w:rFonts w:hint="eastAsia" w:ascii="宋体" w:hAnsi="宋体" w:eastAsia="宋体" w:cs="宋体"/>
          <w:kern w:val="0"/>
          <w:sz w:val="24"/>
          <w:szCs w:val="24"/>
        </w:rPr>
        <w:t>，</w:t>
      </w:r>
      <w:r>
        <w:rPr>
          <w:rFonts w:ascii="宋体" w:hAnsi="宋体" w:eastAsia="宋体" w:cs="宋体"/>
          <w:kern w:val="0"/>
          <w:sz w:val="24"/>
          <w:szCs w:val="24"/>
        </w:rPr>
        <w:t>不能转包及分包</w:t>
      </w:r>
      <w:r>
        <w:rPr>
          <w:rFonts w:hint="eastAsia" w:ascii="宋体" w:hAnsi="宋体" w:eastAsia="宋体" w:cs="宋体"/>
          <w:kern w:val="0"/>
          <w:sz w:val="24"/>
          <w:szCs w:val="24"/>
        </w:rPr>
        <w:t>。</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0、</w:t>
      </w:r>
      <w:r>
        <w:rPr>
          <w:rFonts w:ascii="宋体" w:hAnsi="宋体" w:eastAsia="宋体" w:cs="宋体"/>
          <w:kern w:val="0"/>
          <w:sz w:val="24"/>
          <w:szCs w:val="24"/>
        </w:rPr>
        <w:t>招标要求中所需的资质文件都</w:t>
      </w:r>
      <w:r>
        <w:rPr>
          <w:rFonts w:hint="eastAsia" w:ascii="宋体" w:hAnsi="宋体" w:eastAsia="宋体" w:cs="宋体"/>
          <w:kern w:val="0"/>
          <w:sz w:val="24"/>
          <w:szCs w:val="24"/>
        </w:rPr>
        <w:t>须</w:t>
      </w:r>
      <w:r>
        <w:rPr>
          <w:rFonts w:ascii="宋体" w:hAnsi="宋体" w:eastAsia="宋体" w:cs="宋体"/>
          <w:kern w:val="0"/>
          <w:sz w:val="24"/>
          <w:szCs w:val="24"/>
        </w:rPr>
        <w:t>提交复印件并</w:t>
      </w:r>
      <w:r>
        <w:rPr>
          <w:rFonts w:hint="eastAsia" w:ascii="宋体" w:hAnsi="宋体" w:eastAsia="宋体" w:cs="宋体"/>
          <w:kern w:val="0"/>
          <w:sz w:val="24"/>
          <w:szCs w:val="24"/>
        </w:rPr>
        <w:t>加盖公章。</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1、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2、开标后投标人在投标有效期内撤回投标；或因投标人的原因对本次招标工作造成较严重后果的；或投标人在中标通知书发放后不与招标人签订合同的，招标人有权不予退还投标保证金，且取消相关投标人的中标资格。</w:t>
      </w:r>
    </w:p>
    <w:p>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w:t>
      </w:r>
      <w:r>
        <w:rPr>
          <w:rFonts w:hint="eastAsia" w:ascii="宋体" w:hAnsi="宋体" w:cs="宋体"/>
          <w:kern w:val="0"/>
          <w:sz w:val="24"/>
          <w:szCs w:val="24"/>
        </w:rPr>
        <w:t>、投标人应按照所附合同模版（详见附件4）与</w:t>
      </w:r>
      <w:r>
        <w:rPr>
          <w:rFonts w:hint="eastAsia" w:ascii="宋体" w:hAnsi="宋体" w:eastAsia="宋体"/>
          <w:color w:val="000000"/>
          <w:sz w:val="24"/>
          <w:szCs w:val="24"/>
        </w:rPr>
        <w:t>招标人</w:t>
      </w:r>
      <w:r>
        <w:rPr>
          <w:rFonts w:hint="eastAsia" w:ascii="宋体" w:hAnsi="宋体" w:cs="宋体"/>
          <w:kern w:val="0"/>
          <w:sz w:val="24"/>
          <w:szCs w:val="24"/>
        </w:rPr>
        <w:t>签订采购合同，原则上合同条款不做变更，但</w:t>
      </w:r>
      <w:r>
        <w:rPr>
          <w:rFonts w:hint="eastAsia" w:ascii="宋体" w:hAnsi="宋体" w:eastAsia="宋体"/>
          <w:color w:val="000000"/>
          <w:sz w:val="24"/>
          <w:szCs w:val="24"/>
        </w:rPr>
        <w:t>招标人</w:t>
      </w:r>
      <w:r>
        <w:rPr>
          <w:rFonts w:hint="eastAsia" w:ascii="宋体" w:hAnsi="宋体" w:cs="宋体"/>
          <w:kern w:val="0"/>
          <w:sz w:val="24"/>
          <w:szCs w:val="24"/>
        </w:rPr>
        <w:t>同意变更的除外。</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14</w:t>
      </w:r>
      <w:r>
        <w:rPr>
          <w:rFonts w:hint="eastAsia" w:ascii="宋体" w:hAnsi="宋体" w:eastAsia="宋体" w:cs="宋体"/>
          <w:kern w:val="0"/>
          <w:sz w:val="24"/>
          <w:szCs w:val="24"/>
        </w:rPr>
        <w:t>、</w:t>
      </w:r>
      <w:r>
        <w:rPr>
          <w:rFonts w:hint="eastAsia" w:ascii="宋体" w:hAnsi="宋体"/>
          <w:sz w:val="24"/>
        </w:rPr>
        <w:t>投标有效期：从提交投标文件的截止之日起算不少于</w:t>
      </w:r>
      <w:r>
        <w:rPr>
          <w:rFonts w:ascii="宋体" w:hAnsi="宋体"/>
          <w:sz w:val="24"/>
        </w:rPr>
        <w:t>90天</w:t>
      </w:r>
      <w:r>
        <w:rPr>
          <w:rFonts w:hint="eastAsia" w:ascii="宋体" w:hAnsi="宋体"/>
          <w:sz w:val="24"/>
        </w:rPr>
        <w:t>。</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15</w:t>
      </w:r>
      <w:r>
        <w:rPr>
          <w:rFonts w:hint="eastAsia" w:ascii="宋体" w:hAnsi="宋体" w:eastAsia="宋体" w:cs="宋体"/>
          <w:kern w:val="0"/>
          <w:sz w:val="24"/>
          <w:szCs w:val="24"/>
        </w:rPr>
        <w:t>、投标人参与投标视为认可上述全部条款。</w:t>
      </w:r>
    </w:p>
    <w:p>
      <w:pPr>
        <w:autoSpaceDE w:val="0"/>
        <w:autoSpaceDN w:val="0"/>
        <w:adjustRightInd w:val="0"/>
        <w:spacing w:before="100" w:beforeAutospacing="1" w:line="360" w:lineRule="auto"/>
        <w:outlineLvl w:val="0"/>
        <w:rPr>
          <w:rFonts w:ascii="黑体" w:eastAsia="黑体" w:cs="黑体"/>
          <w:kern w:val="0"/>
          <w:sz w:val="28"/>
          <w:szCs w:val="28"/>
        </w:rPr>
      </w:pPr>
      <w:r>
        <w:rPr>
          <w:rFonts w:hint="eastAsia" w:ascii="黑体" w:eastAsia="黑体" w:cs="黑体"/>
          <w:kern w:val="0"/>
          <w:sz w:val="28"/>
          <w:szCs w:val="28"/>
        </w:rPr>
        <w:t>三、响应文件</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cs="宋体"/>
          <w:kern w:val="0"/>
          <w:sz w:val="24"/>
          <w:szCs w:val="24"/>
        </w:rPr>
        <w:t>响应文件应包含：商务报价文件，技术文件（针对本项目的技术或服务偏离说明表，采购文件要求提供的其他资料），商务文件（证明其为合格服务商的有关资格证明文件，采购文件要求提供的其他资料）。</w:t>
      </w:r>
    </w:p>
    <w:p>
      <w:pPr>
        <w:pStyle w:val="17"/>
        <w:numPr>
          <w:ilvl w:val="0"/>
          <w:numId w:val="2"/>
        </w:numPr>
        <w:autoSpaceDE w:val="0"/>
        <w:autoSpaceDN w:val="0"/>
        <w:adjustRightInd w:val="0"/>
        <w:spacing w:line="360" w:lineRule="auto"/>
        <w:ind w:firstLineChars="0"/>
        <w:rPr>
          <w:rFonts w:ascii="宋体" w:hAnsi="宋体" w:cs="宋体"/>
          <w:b/>
          <w:szCs w:val="24"/>
        </w:rPr>
      </w:pPr>
      <w:r>
        <w:rPr>
          <w:rFonts w:hint="eastAsia" w:ascii="宋体" w:hAnsi="宋体" w:cs="宋体"/>
          <w:b/>
          <w:szCs w:val="24"/>
        </w:rPr>
        <w:t>响应人的商务报价文件（均需加盖公章）</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bdr w:val="single" w:color="auto" w:sz="4" w:space="0"/>
        </w:rPr>
        <w:t>明细报价单</w:t>
      </w:r>
      <w:r>
        <w:rPr>
          <w:rFonts w:hint="eastAsia" w:ascii="宋体" w:hAnsi="宋体" w:eastAsia="宋体"/>
          <w:b/>
          <w:sz w:val="24"/>
          <w:szCs w:val="24"/>
          <w:bdr w:val="single" w:color="auto" w:sz="4" w:space="0"/>
        </w:rPr>
        <w:t>（建议单独</w:t>
      </w:r>
      <w:r>
        <w:rPr>
          <w:rFonts w:ascii="宋体" w:hAnsi="宋体" w:eastAsia="宋体"/>
          <w:b/>
          <w:sz w:val="24"/>
          <w:szCs w:val="24"/>
          <w:bdr w:val="single" w:color="auto" w:sz="4" w:space="0"/>
        </w:rPr>
        <w:t>密封）</w:t>
      </w:r>
      <w:r>
        <w:rPr>
          <w:rFonts w:hint="eastAsia" w:ascii="宋体" w:hAnsi="宋体" w:eastAsia="宋体"/>
          <w:b/>
          <w:sz w:val="24"/>
          <w:szCs w:val="24"/>
        </w:rPr>
        <w:t>。</w:t>
      </w: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2、响应人的商务文件（均需加盖公章）</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响应人提交的证明其有资格进行投标且有能力履行合同的资格证明文件应包括下列文件：</w:t>
      </w:r>
    </w:p>
    <w:p>
      <w:pPr>
        <w:pStyle w:val="17"/>
        <w:numPr>
          <w:ilvl w:val="0"/>
          <w:numId w:val="3"/>
        </w:numPr>
        <w:autoSpaceDE w:val="0"/>
        <w:autoSpaceDN w:val="0"/>
        <w:adjustRightInd w:val="0"/>
        <w:spacing w:line="360" w:lineRule="auto"/>
        <w:ind w:firstLineChars="0"/>
        <w:rPr>
          <w:rFonts w:ascii="宋体" w:hAnsi="宋体"/>
          <w:szCs w:val="24"/>
        </w:rPr>
      </w:pPr>
      <w:r>
        <w:rPr>
          <w:rFonts w:hint="eastAsia" w:ascii="宋体" w:hAnsi="宋体"/>
          <w:szCs w:val="24"/>
        </w:rPr>
        <w:t>提供通过有效的企业法人营业执照、税务登记证、组织机构代码证；或</w:t>
      </w:r>
      <w:r>
        <w:rPr>
          <w:rFonts w:ascii="宋体" w:hAnsi="宋体"/>
          <w:szCs w:val="24"/>
        </w:rPr>
        <w:t>上述证件的三证合一件</w:t>
      </w:r>
      <w:r>
        <w:rPr>
          <w:rFonts w:hint="eastAsia" w:ascii="宋体" w:hAnsi="宋体"/>
          <w:szCs w:val="24"/>
        </w:rPr>
        <w:t>，</w:t>
      </w:r>
      <w:r>
        <w:rPr>
          <w:rFonts w:ascii="宋体" w:hAnsi="宋体"/>
          <w:szCs w:val="24"/>
        </w:rPr>
        <w:t>以上均为复印件。</w:t>
      </w:r>
    </w:p>
    <w:p>
      <w:pPr>
        <w:pStyle w:val="17"/>
        <w:numPr>
          <w:ilvl w:val="0"/>
          <w:numId w:val="3"/>
        </w:numPr>
        <w:autoSpaceDE w:val="0"/>
        <w:autoSpaceDN w:val="0"/>
        <w:adjustRightInd w:val="0"/>
        <w:spacing w:line="360" w:lineRule="auto"/>
        <w:ind w:firstLineChars="0"/>
        <w:rPr>
          <w:rFonts w:ascii="宋体" w:hAnsi="宋体"/>
          <w:szCs w:val="24"/>
        </w:rPr>
      </w:pPr>
      <w:r>
        <w:rPr>
          <w:rFonts w:ascii="宋体" w:hAnsi="宋体"/>
          <w:szCs w:val="24"/>
        </w:rPr>
        <w:t>法人代表</w:t>
      </w:r>
      <w:r>
        <w:rPr>
          <w:rFonts w:hint="eastAsia" w:ascii="宋体" w:hAnsi="宋体"/>
          <w:szCs w:val="24"/>
        </w:rPr>
        <w:t>人（投资人/负责人）</w:t>
      </w:r>
      <w:r>
        <w:rPr>
          <w:rFonts w:ascii="宋体" w:hAnsi="宋体"/>
          <w:szCs w:val="24"/>
        </w:rPr>
        <w:t>授权书</w:t>
      </w:r>
      <w:r>
        <w:rPr>
          <w:rFonts w:hint="eastAsia" w:ascii="宋体" w:hAnsi="宋体"/>
          <w:szCs w:val="24"/>
        </w:rPr>
        <w:t>（格式见附件</w:t>
      </w:r>
      <w:r>
        <w:rPr>
          <w:rFonts w:ascii="宋体" w:hAnsi="宋体"/>
          <w:szCs w:val="24"/>
        </w:rPr>
        <w:t>2</w:t>
      </w:r>
      <w:r>
        <w:rPr>
          <w:rFonts w:hint="eastAsia" w:ascii="宋体" w:hAnsi="宋体"/>
          <w:szCs w:val="24"/>
        </w:rPr>
        <w:t>），法定代表人及授权委托人的身份证（复印件）；</w:t>
      </w:r>
    </w:p>
    <w:p>
      <w:pPr>
        <w:pStyle w:val="17"/>
        <w:numPr>
          <w:ilvl w:val="0"/>
          <w:numId w:val="3"/>
        </w:numPr>
        <w:autoSpaceDE w:val="0"/>
        <w:autoSpaceDN w:val="0"/>
        <w:adjustRightInd w:val="0"/>
        <w:spacing w:line="360" w:lineRule="auto"/>
        <w:ind w:firstLineChars="0"/>
        <w:rPr>
          <w:rFonts w:ascii="宋体" w:hAnsi="宋体"/>
          <w:szCs w:val="24"/>
        </w:rPr>
      </w:pPr>
      <w:r>
        <w:rPr>
          <w:rFonts w:hint="eastAsia" w:ascii="宋体" w:hAnsi="宋体"/>
          <w:szCs w:val="24"/>
        </w:rPr>
        <w:t>提交针对商务要求的响应。</w:t>
      </w:r>
    </w:p>
    <w:p>
      <w:pPr>
        <w:pStyle w:val="17"/>
        <w:numPr>
          <w:ilvl w:val="0"/>
          <w:numId w:val="3"/>
        </w:numPr>
        <w:autoSpaceDE w:val="0"/>
        <w:autoSpaceDN w:val="0"/>
        <w:adjustRightInd w:val="0"/>
        <w:spacing w:line="360" w:lineRule="auto"/>
        <w:ind w:firstLineChars="0"/>
        <w:rPr>
          <w:rFonts w:ascii="宋体" w:hAnsi="宋体"/>
          <w:szCs w:val="24"/>
        </w:rPr>
      </w:pPr>
      <w:r>
        <w:rPr>
          <w:rFonts w:hint="eastAsia" w:ascii="宋体" w:hAnsi="宋体" w:cs="宋体"/>
          <w:szCs w:val="24"/>
        </w:rPr>
        <w:t>其他响应人认为有必要提供的资料。</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商务条款响应表参考格式如下：</w:t>
      </w:r>
    </w:p>
    <w:p>
      <w:pPr>
        <w:spacing w:before="156" w:beforeLines="50" w:after="156" w:afterLines="50" w:line="360" w:lineRule="auto"/>
        <w:jc w:val="center"/>
        <w:rPr>
          <w:rFonts w:ascii="宋体" w:hAnsi="Courier New"/>
          <w:b/>
          <w:sz w:val="24"/>
          <w:szCs w:val="24"/>
        </w:rPr>
      </w:pPr>
      <w:r>
        <w:rPr>
          <w:rFonts w:ascii="宋体" w:hAnsi="Courier New"/>
          <w:b/>
          <w:sz w:val="24"/>
          <w:szCs w:val="24"/>
        </w:rPr>
        <w:t>商务条款响应/偏离表</w:t>
      </w:r>
      <w:r>
        <w:rPr>
          <w:rFonts w:hint="eastAsia" w:ascii="宋体" w:hAnsi="宋体" w:eastAsia="宋体"/>
          <w:b/>
          <w:sz w:val="24"/>
          <w:szCs w:val="24"/>
        </w:rPr>
        <w:t>（参考格式）</w:t>
      </w:r>
    </w:p>
    <w:p>
      <w:pPr>
        <w:spacing w:line="360" w:lineRule="atLeast"/>
        <w:rPr>
          <w:sz w:val="24"/>
          <w:szCs w:val="24"/>
        </w:rPr>
      </w:pPr>
      <w:r>
        <w:rPr>
          <w:rFonts w:hint="eastAsia"/>
          <w:sz w:val="24"/>
          <w:szCs w:val="24"/>
        </w:rPr>
        <w:t>响应</w:t>
      </w:r>
      <w:r>
        <w:rPr>
          <w:sz w:val="24"/>
          <w:szCs w:val="24"/>
        </w:rPr>
        <w:t>人名称：</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8"/>
        <w:gridCol w:w="2601"/>
        <w:gridCol w:w="2305"/>
        <w:gridCol w:w="1419"/>
        <w:gridCol w:w="1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trPr>
        <w:tc>
          <w:tcPr>
            <w:tcW w:w="370" w:type="pct"/>
            <w:vAlign w:val="center"/>
          </w:tcPr>
          <w:p>
            <w:pPr>
              <w:spacing w:line="360" w:lineRule="atLeast"/>
              <w:rPr>
                <w:rFonts w:ascii="宋体" w:hAnsi="Courier New"/>
                <w:sz w:val="24"/>
                <w:szCs w:val="24"/>
              </w:rPr>
            </w:pPr>
            <w:r>
              <w:rPr>
                <w:rFonts w:hint="eastAsia" w:ascii="宋体" w:hAnsi="Courier New"/>
                <w:sz w:val="24"/>
                <w:szCs w:val="24"/>
              </w:rPr>
              <w:t>序号</w:t>
            </w:r>
          </w:p>
        </w:tc>
        <w:tc>
          <w:tcPr>
            <w:tcW w:w="1555" w:type="pct"/>
            <w:vAlign w:val="center"/>
          </w:tcPr>
          <w:p>
            <w:pPr>
              <w:spacing w:line="360" w:lineRule="atLeast"/>
              <w:rPr>
                <w:rFonts w:ascii="宋体" w:hAnsi="Courier New"/>
                <w:sz w:val="24"/>
                <w:szCs w:val="24"/>
              </w:rPr>
            </w:pPr>
            <w:r>
              <w:rPr>
                <w:rFonts w:hint="eastAsia" w:ascii="宋体" w:hAnsi="Courier New"/>
                <w:sz w:val="24"/>
                <w:szCs w:val="24"/>
              </w:rPr>
              <w:t>商务条款</w:t>
            </w:r>
          </w:p>
        </w:tc>
        <w:tc>
          <w:tcPr>
            <w:tcW w:w="1378" w:type="pct"/>
            <w:vAlign w:val="center"/>
          </w:tcPr>
          <w:p>
            <w:pPr>
              <w:spacing w:line="360" w:lineRule="atLeast"/>
              <w:rPr>
                <w:rFonts w:ascii="宋体" w:hAnsi="Courier New"/>
                <w:sz w:val="24"/>
                <w:szCs w:val="24"/>
              </w:rPr>
            </w:pPr>
            <w:r>
              <w:rPr>
                <w:rFonts w:hint="eastAsia" w:ascii="宋体" w:hAnsi="Courier New"/>
                <w:sz w:val="24"/>
                <w:szCs w:val="24"/>
              </w:rPr>
              <w:t>响应</w:t>
            </w:r>
          </w:p>
        </w:tc>
        <w:tc>
          <w:tcPr>
            <w:tcW w:w="848" w:type="pct"/>
            <w:vAlign w:val="center"/>
          </w:tcPr>
          <w:p>
            <w:pPr>
              <w:spacing w:line="360" w:lineRule="atLeast"/>
              <w:rPr>
                <w:rFonts w:ascii="宋体" w:hAnsi="Courier New"/>
                <w:sz w:val="24"/>
                <w:szCs w:val="24"/>
              </w:rPr>
            </w:pPr>
            <w:r>
              <w:rPr>
                <w:rFonts w:hint="eastAsia" w:ascii="宋体" w:hAnsi="Courier New"/>
                <w:sz w:val="24"/>
                <w:szCs w:val="24"/>
              </w:rPr>
              <w:t>是否偏离</w:t>
            </w:r>
          </w:p>
        </w:tc>
        <w:tc>
          <w:tcPr>
            <w:tcW w:w="848" w:type="pct"/>
            <w:vAlign w:val="center"/>
          </w:tcPr>
          <w:p>
            <w:pPr>
              <w:spacing w:line="360" w:lineRule="atLeast"/>
              <w:rPr>
                <w:rFonts w:ascii="宋体" w:hAnsi="Courier New"/>
                <w:sz w:val="24"/>
                <w:szCs w:val="24"/>
              </w:rPr>
            </w:pPr>
            <w:r>
              <w:rPr>
                <w:rFonts w:hint="eastAsia" w:ascii="宋体" w:hAnsi="Courier New"/>
                <w:sz w:val="24"/>
                <w:szCs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trPr>
        <w:tc>
          <w:tcPr>
            <w:tcW w:w="370" w:type="pct"/>
          </w:tcPr>
          <w:p>
            <w:pPr>
              <w:spacing w:line="360" w:lineRule="atLeast"/>
              <w:rPr>
                <w:sz w:val="24"/>
                <w:szCs w:val="24"/>
              </w:rPr>
            </w:pPr>
          </w:p>
        </w:tc>
        <w:tc>
          <w:tcPr>
            <w:tcW w:w="1555" w:type="pct"/>
          </w:tcPr>
          <w:p>
            <w:pPr>
              <w:spacing w:line="360" w:lineRule="atLeast"/>
              <w:rPr>
                <w:sz w:val="24"/>
                <w:szCs w:val="24"/>
              </w:rPr>
            </w:pPr>
          </w:p>
        </w:tc>
        <w:tc>
          <w:tcPr>
            <w:tcW w:w="1378" w:type="pct"/>
          </w:tcPr>
          <w:p>
            <w:pPr>
              <w:spacing w:line="360" w:lineRule="atLeast"/>
              <w:rPr>
                <w:sz w:val="24"/>
                <w:szCs w:val="24"/>
              </w:rPr>
            </w:pPr>
          </w:p>
        </w:tc>
        <w:tc>
          <w:tcPr>
            <w:tcW w:w="848" w:type="pct"/>
          </w:tcPr>
          <w:p>
            <w:pPr>
              <w:spacing w:line="360" w:lineRule="atLeast"/>
              <w:rPr>
                <w:sz w:val="24"/>
                <w:szCs w:val="24"/>
              </w:rPr>
            </w:pPr>
          </w:p>
        </w:tc>
        <w:tc>
          <w:tcPr>
            <w:tcW w:w="848" w:type="pct"/>
          </w:tcPr>
          <w:p>
            <w:pPr>
              <w:spacing w:line="360" w:lineRule="atLeast"/>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trPr>
        <w:tc>
          <w:tcPr>
            <w:tcW w:w="370" w:type="pct"/>
          </w:tcPr>
          <w:p>
            <w:pPr>
              <w:spacing w:line="360" w:lineRule="atLeast"/>
              <w:rPr>
                <w:sz w:val="24"/>
                <w:szCs w:val="24"/>
              </w:rPr>
            </w:pPr>
          </w:p>
        </w:tc>
        <w:tc>
          <w:tcPr>
            <w:tcW w:w="1555" w:type="pct"/>
          </w:tcPr>
          <w:p>
            <w:pPr>
              <w:spacing w:line="360" w:lineRule="atLeast"/>
              <w:rPr>
                <w:sz w:val="24"/>
                <w:szCs w:val="24"/>
              </w:rPr>
            </w:pPr>
          </w:p>
        </w:tc>
        <w:tc>
          <w:tcPr>
            <w:tcW w:w="1378" w:type="pct"/>
          </w:tcPr>
          <w:p>
            <w:pPr>
              <w:spacing w:line="360" w:lineRule="atLeast"/>
              <w:rPr>
                <w:sz w:val="24"/>
                <w:szCs w:val="24"/>
              </w:rPr>
            </w:pPr>
          </w:p>
        </w:tc>
        <w:tc>
          <w:tcPr>
            <w:tcW w:w="848" w:type="pct"/>
          </w:tcPr>
          <w:p>
            <w:pPr>
              <w:spacing w:line="360" w:lineRule="atLeast"/>
              <w:rPr>
                <w:sz w:val="24"/>
                <w:szCs w:val="24"/>
              </w:rPr>
            </w:pPr>
          </w:p>
        </w:tc>
        <w:tc>
          <w:tcPr>
            <w:tcW w:w="848" w:type="pct"/>
          </w:tcPr>
          <w:p>
            <w:pPr>
              <w:spacing w:line="360" w:lineRule="atLeast"/>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trPr>
        <w:tc>
          <w:tcPr>
            <w:tcW w:w="370" w:type="pct"/>
          </w:tcPr>
          <w:p>
            <w:pPr>
              <w:spacing w:line="360" w:lineRule="atLeast"/>
              <w:rPr>
                <w:sz w:val="24"/>
                <w:szCs w:val="24"/>
              </w:rPr>
            </w:pPr>
          </w:p>
        </w:tc>
        <w:tc>
          <w:tcPr>
            <w:tcW w:w="1555" w:type="pct"/>
          </w:tcPr>
          <w:p>
            <w:pPr>
              <w:spacing w:line="360" w:lineRule="atLeast"/>
              <w:rPr>
                <w:sz w:val="24"/>
                <w:szCs w:val="24"/>
              </w:rPr>
            </w:pPr>
          </w:p>
        </w:tc>
        <w:tc>
          <w:tcPr>
            <w:tcW w:w="1378" w:type="pct"/>
          </w:tcPr>
          <w:p>
            <w:pPr>
              <w:spacing w:line="360" w:lineRule="atLeast"/>
              <w:rPr>
                <w:sz w:val="24"/>
                <w:szCs w:val="24"/>
              </w:rPr>
            </w:pPr>
          </w:p>
        </w:tc>
        <w:tc>
          <w:tcPr>
            <w:tcW w:w="848" w:type="pct"/>
          </w:tcPr>
          <w:p>
            <w:pPr>
              <w:spacing w:line="360" w:lineRule="atLeast"/>
              <w:rPr>
                <w:sz w:val="24"/>
                <w:szCs w:val="24"/>
              </w:rPr>
            </w:pPr>
          </w:p>
        </w:tc>
        <w:tc>
          <w:tcPr>
            <w:tcW w:w="848" w:type="pct"/>
          </w:tcPr>
          <w:p>
            <w:pPr>
              <w:spacing w:line="360" w:lineRule="atLeast"/>
              <w:rPr>
                <w:sz w:val="24"/>
                <w:szCs w:val="24"/>
              </w:rPr>
            </w:pPr>
          </w:p>
        </w:tc>
      </w:tr>
    </w:tbl>
    <w:p>
      <w:pPr>
        <w:spacing w:before="100" w:beforeAutospacing="1" w:line="360" w:lineRule="atLeast"/>
        <w:rPr>
          <w:sz w:val="24"/>
          <w:szCs w:val="24"/>
        </w:rPr>
      </w:pPr>
      <w:r>
        <w:rPr>
          <w:rFonts w:hint="eastAsia"/>
          <w:sz w:val="24"/>
          <w:szCs w:val="24"/>
        </w:rPr>
        <w:t>响应</w:t>
      </w:r>
      <w:r>
        <w:rPr>
          <w:sz w:val="24"/>
          <w:szCs w:val="24"/>
        </w:rPr>
        <w:t>人代表签字：____________________</w:t>
      </w:r>
      <w:r>
        <w:rPr>
          <w:rFonts w:hint="eastAsia"/>
          <w:sz w:val="24"/>
          <w:szCs w:val="24"/>
        </w:rPr>
        <w:t>（盖章）</w:t>
      </w:r>
    </w:p>
    <w:p>
      <w:pPr>
        <w:autoSpaceDE w:val="0"/>
        <w:autoSpaceDN w:val="0"/>
        <w:adjustRightInd w:val="0"/>
        <w:spacing w:before="100" w:beforeAutospacing="1"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3、响应人的技术文件（均需加盖公章）</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响应人提交的针对招标需求的响应。参考格式</w:t>
      </w:r>
      <w:r>
        <w:rPr>
          <w:rFonts w:ascii="宋体" w:hAnsi="宋体" w:eastAsia="宋体"/>
          <w:sz w:val="24"/>
          <w:szCs w:val="24"/>
        </w:rPr>
        <w:t>见下表：</w:t>
      </w:r>
    </w:p>
    <w:p>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hint="eastAsia" w:ascii="宋体" w:hAnsi="宋体" w:eastAsia="宋体"/>
          <w:b/>
          <w:sz w:val="24"/>
          <w:szCs w:val="24"/>
        </w:rPr>
        <w:t>（参考格式）</w:t>
      </w:r>
    </w:p>
    <w:p>
      <w:pPr>
        <w:spacing w:line="360" w:lineRule="atLeast"/>
        <w:rPr>
          <w:rFonts w:ascii="宋体" w:hAnsi="Courier New"/>
          <w:sz w:val="24"/>
          <w:szCs w:val="24"/>
        </w:rPr>
      </w:pPr>
      <w:r>
        <w:rPr>
          <w:rFonts w:hint="eastAsia" w:ascii="宋体" w:hAnsi="Courier New"/>
          <w:sz w:val="24"/>
          <w:szCs w:val="24"/>
        </w:rPr>
        <w:t>响应</w:t>
      </w:r>
      <w:r>
        <w:rPr>
          <w:rFonts w:ascii="宋体" w:hAnsi="Courier New"/>
          <w:sz w:val="24"/>
          <w:szCs w:val="24"/>
        </w:rPr>
        <w:t>人名称：</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873"/>
        <w:gridCol w:w="2203"/>
        <w:gridCol w:w="2350"/>
        <w:gridCol w:w="1468"/>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trPr>
        <w:tc>
          <w:tcPr>
            <w:tcW w:w="522" w:type="pct"/>
            <w:vAlign w:val="center"/>
          </w:tcPr>
          <w:p>
            <w:pPr>
              <w:spacing w:line="360" w:lineRule="atLeast"/>
              <w:rPr>
                <w:rFonts w:ascii="宋体" w:hAnsi="Courier New"/>
                <w:sz w:val="24"/>
                <w:szCs w:val="24"/>
              </w:rPr>
            </w:pPr>
            <w:r>
              <w:rPr>
                <w:rFonts w:hint="eastAsia" w:ascii="宋体" w:hAnsi="Courier New"/>
                <w:sz w:val="24"/>
                <w:szCs w:val="24"/>
              </w:rPr>
              <w:t>序号</w:t>
            </w:r>
          </w:p>
        </w:tc>
        <w:tc>
          <w:tcPr>
            <w:tcW w:w="1317" w:type="pct"/>
            <w:vAlign w:val="center"/>
          </w:tcPr>
          <w:p>
            <w:pPr>
              <w:spacing w:line="360" w:lineRule="atLeast"/>
              <w:rPr>
                <w:rFonts w:ascii="宋体" w:hAnsi="Courier New"/>
                <w:sz w:val="24"/>
                <w:szCs w:val="24"/>
              </w:rPr>
            </w:pPr>
            <w:r>
              <w:rPr>
                <w:rFonts w:hint="eastAsia" w:ascii="宋体" w:hAnsi="宋体" w:eastAsia="宋体"/>
                <w:sz w:val="24"/>
                <w:szCs w:val="24"/>
              </w:rPr>
              <w:t>需求</w:t>
            </w:r>
            <w:r>
              <w:rPr>
                <w:rFonts w:hint="eastAsia" w:ascii="宋体" w:hAnsi="Courier New"/>
                <w:sz w:val="24"/>
                <w:szCs w:val="24"/>
              </w:rPr>
              <w:t>条款</w:t>
            </w:r>
          </w:p>
        </w:tc>
        <w:tc>
          <w:tcPr>
            <w:tcW w:w="1405" w:type="pct"/>
            <w:vAlign w:val="center"/>
          </w:tcPr>
          <w:p>
            <w:pPr>
              <w:spacing w:line="360" w:lineRule="atLeast"/>
              <w:rPr>
                <w:rFonts w:ascii="宋体" w:hAnsi="Courier New"/>
                <w:sz w:val="24"/>
                <w:szCs w:val="24"/>
              </w:rPr>
            </w:pPr>
            <w:r>
              <w:rPr>
                <w:rFonts w:hint="eastAsia" w:ascii="宋体" w:hAnsi="Courier New"/>
                <w:sz w:val="24"/>
                <w:szCs w:val="24"/>
              </w:rPr>
              <w:t>响应</w:t>
            </w:r>
          </w:p>
        </w:tc>
        <w:tc>
          <w:tcPr>
            <w:tcW w:w="878" w:type="pct"/>
            <w:vAlign w:val="center"/>
          </w:tcPr>
          <w:p>
            <w:pPr>
              <w:spacing w:line="360" w:lineRule="atLeast"/>
              <w:rPr>
                <w:rFonts w:ascii="宋体" w:hAnsi="Courier New"/>
                <w:sz w:val="24"/>
                <w:szCs w:val="24"/>
              </w:rPr>
            </w:pPr>
            <w:r>
              <w:rPr>
                <w:rFonts w:hint="eastAsia" w:ascii="宋体" w:hAnsi="Courier New"/>
                <w:sz w:val="24"/>
                <w:szCs w:val="24"/>
              </w:rPr>
              <w:t>是否偏离</w:t>
            </w:r>
          </w:p>
        </w:tc>
        <w:tc>
          <w:tcPr>
            <w:tcW w:w="878" w:type="pct"/>
            <w:vAlign w:val="center"/>
          </w:tcPr>
          <w:p>
            <w:pPr>
              <w:spacing w:line="360" w:lineRule="atLeast"/>
              <w:rPr>
                <w:rFonts w:ascii="宋体" w:hAnsi="Courier New"/>
                <w:sz w:val="24"/>
                <w:szCs w:val="24"/>
              </w:rPr>
            </w:pPr>
            <w:r>
              <w:rPr>
                <w:rFonts w:hint="eastAsia" w:ascii="宋体" w:hAnsi="Courier New"/>
                <w:sz w:val="24"/>
                <w:szCs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trPr>
        <w:tc>
          <w:tcPr>
            <w:tcW w:w="522" w:type="pct"/>
          </w:tcPr>
          <w:p>
            <w:pPr>
              <w:spacing w:line="360" w:lineRule="atLeast"/>
              <w:rPr>
                <w:sz w:val="24"/>
                <w:szCs w:val="24"/>
              </w:rPr>
            </w:pPr>
          </w:p>
        </w:tc>
        <w:tc>
          <w:tcPr>
            <w:tcW w:w="1317" w:type="pct"/>
          </w:tcPr>
          <w:p>
            <w:pPr>
              <w:spacing w:line="360" w:lineRule="atLeast"/>
              <w:rPr>
                <w:sz w:val="24"/>
                <w:szCs w:val="24"/>
              </w:rPr>
            </w:pPr>
          </w:p>
        </w:tc>
        <w:tc>
          <w:tcPr>
            <w:tcW w:w="1405" w:type="pct"/>
          </w:tcPr>
          <w:p>
            <w:pPr>
              <w:spacing w:line="360" w:lineRule="atLeast"/>
              <w:rPr>
                <w:sz w:val="24"/>
                <w:szCs w:val="24"/>
              </w:rPr>
            </w:pPr>
          </w:p>
        </w:tc>
        <w:tc>
          <w:tcPr>
            <w:tcW w:w="878" w:type="pct"/>
          </w:tcPr>
          <w:p>
            <w:pPr>
              <w:spacing w:line="360" w:lineRule="atLeast"/>
              <w:rPr>
                <w:sz w:val="24"/>
                <w:szCs w:val="24"/>
              </w:rPr>
            </w:pPr>
          </w:p>
        </w:tc>
        <w:tc>
          <w:tcPr>
            <w:tcW w:w="878" w:type="pct"/>
          </w:tcPr>
          <w:p>
            <w:pPr>
              <w:spacing w:line="360" w:lineRule="atLeast"/>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trPr>
        <w:tc>
          <w:tcPr>
            <w:tcW w:w="522" w:type="pct"/>
          </w:tcPr>
          <w:p>
            <w:pPr>
              <w:spacing w:line="360" w:lineRule="atLeast"/>
              <w:rPr>
                <w:sz w:val="24"/>
                <w:szCs w:val="24"/>
              </w:rPr>
            </w:pPr>
          </w:p>
        </w:tc>
        <w:tc>
          <w:tcPr>
            <w:tcW w:w="1317" w:type="pct"/>
          </w:tcPr>
          <w:p>
            <w:pPr>
              <w:spacing w:line="360" w:lineRule="atLeast"/>
              <w:rPr>
                <w:sz w:val="24"/>
                <w:szCs w:val="24"/>
              </w:rPr>
            </w:pPr>
          </w:p>
        </w:tc>
        <w:tc>
          <w:tcPr>
            <w:tcW w:w="1405" w:type="pct"/>
          </w:tcPr>
          <w:p>
            <w:pPr>
              <w:spacing w:line="360" w:lineRule="atLeast"/>
              <w:rPr>
                <w:sz w:val="24"/>
                <w:szCs w:val="24"/>
              </w:rPr>
            </w:pPr>
          </w:p>
        </w:tc>
        <w:tc>
          <w:tcPr>
            <w:tcW w:w="878" w:type="pct"/>
          </w:tcPr>
          <w:p>
            <w:pPr>
              <w:spacing w:line="360" w:lineRule="atLeast"/>
              <w:rPr>
                <w:sz w:val="24"/>
                <w:szCs w:val="24"/>
              </w:rPr>
            </w:pPr>
          </w:p>
        </w:tc>
        <w:tc>
          <w:tcPr>
            <w:tcW w:w="878" w:type="pct"/>
          </w:tcPr>
          <w:p>
            <w:pPr>
              <w:spacing w:line="360" w:lineRule="atLeast"/>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trPr>
        <w:tc>
          <w:tcPr>
            <w:tcW w:w="522" w:type="pct"/>
          </w:tcPr>
          <w:p>
            <w:pPr>
              <w:spacing w:line="360" w:lineRule="atLeast"/>
              <w:rPr>
                <w:sz w:val="24"/>
                <w:szCs w:val="24"/>
              </w:rPr>
            </w:pPr>
          </w:p>
        </w:tc>
        <w:tc>
          <w:tcPr>
            <w:tcW w:w="1317" w:type="pct"/>
          </w:tcPr>
          <w:p>
            <w:pPr>
              <w:spacing w:line="360" w:lineRule="atLeast"/>
              <w:rPr>
                <w:sz w:val="24"/>
                <w:szCs w:val="24"/>
              </w:rPr>
            </w:pPr>
          </w:p>
        </w:tc>
        <w:tc>
          <w:tcPr>
            <w:tcW w:w="1405" w:type="pct"/>
          </w:tcPr>
          <w:p>
            <w:pPr>
              <w:spacing w:line="360" w:lineRule="atLeast"/>
              <w:rPr>
                <w:sz w:val="24"/>
                <w:szCs w:val="24"/>
              </w:rPr>
            </w:pPr>
          </w:p>
        </w:tc>
        <w:tc>
          <w:tcPr>
            <w:tcW w:w="878" w:type="pct"/>
          </w:tcPr>
          <w:p>
            <w:pPr>
              <w:spacing w:line="360" w:lineRule="atLeast"/>
              <w:rPr>
                <w:sz w:val="24"/>
                <w:szCs w:val="24"/>
              </w:rPr>
            </w:pPr>
          </w:p>
        </w:tc>
        <w:tc>
          <w:tcPr>
            <w:tcW w:w="878" w:type="pct"/>
          </w:tcPr>
          <w:p>
            <w:pPr>
              <w:spacing w:line="360" w:lineRule="atLeast"/>
              <w:rPr>
                <w:sz w:val="24"/>
                <w:szCs w:val="24"/>
              </w:rPr>
            </w:pPr>
          </w:p>
        </w:tc>
      </w:tr>
    </w:tbl>
    <w:p>
      <w:pPr>
        <w:spacing w:line="360" w:lineRule="atLeast"/>
        <w:rPr>
          <w:rFonts w:ascii="宋体" w:hAnsi="Courier New"/>
          <w:sz w:val="24"/>
          <w:szCs w:val="24"/>
        </w:rPr>
      </w:pPr>
    </w:p>
    <w:p>
      <w:pPr>
        <w:spacing w:before="100" w:beforeAutospacing="1" w:after="100" w:afterAutospacing="1" w:line="360" w:lineRule="auto"/>
        <w:rPr>
          <w:rFonts w:ascii="宋体" w:hAnsi="Courier New"/>
          <w:sz w:val="24"/>
          <w:szCs w:val="24"/>
        </w:rPr>
      </w:pPr>
      <w:r>
        <w:rPr>
          <w:rFonts w:hint="eastAsia" w:ascii="宋体" w:hAnsi="Courier New"/>
          <w:sz w:val="24"/>
          <w:szCs w:val="24"/>
        </w:rPr>
        <w:t>响应</w:t>
      </w:r>
      <w:r>
        <w:rPr>
          <w:rFonts w:ascii="宋体" w:hAnsi="Courier New"/>
          <w:sz w:val="24"/>
          <w:szCs w:val="24"/>
        </w:rPr>
        <w:t>人代表签字：</w:t>
      </w:r>
      <w:r>
        <w:rPr>
          <w:sz w:val="24"/>
          <w:szCs w:val="24"/>
        </w:rPr>
        <w:t>____________________</w:t>
      </w:r>
      <w:r>
        <w:rPr>
          <w:rFonts w:hint="eastAsia" w:ascii="宋体" w:hAnsi="Courier New"/>
          <w:sz w:val="24"/>
          <w:szCs w:val="24"/>
        </w:rPr>
        <w:t>（盖章）</w:t>
      </w: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4</w:t>
      </w:r>
      <w:r>
        <w:rPr>
          <w:rFonts w:ascii="宋体" w:hAnsi="宋体" w:eastAsia="宋体" w:cs="宋体"/>
          <w:b/>
          <w:kern w:val="0"/>
          <w:sz w:val="24"/>
          <w:szCs w:val="24"/>
        </w:rPr>
        <w:t>、</w:t>
      </w:r>
      <w:r>
        <w:rPr>
          <w:rFonts w:hint="eastAsia" w:ascii="宋体" w:hAnsi="宋体" w:eastAsia="宋体" w:cs="宋体"/>
          <w:b/>
          <w:kern w:val="0"/>
          <w:sz w:val="24"/>
          <w:szCs w:val="24"/>
        </w:rPr>
        <w:t>响应文件要求</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响应人的响应文件必须按照采购书要求制作。</w:t>
      </w:r>
    </w:p>
    <w:p>
      <w:pPr>
        <w:autoSpaceDE w:val="0"/>
        <w:autoSpaceDN w:val="0"/>
        <w:adjustRightInd w:val="0"/>
        <w:spacing w:before="100" w:beforeAutospacing="1"/>
        <w:outlineLvl w:val="0"/>
        <w:rPr>
          <w:rFonts w:ascii="黑体" w:eastAsia="黑体" w:cs="黑体"/>
          <w:kern w:val="0"/>
          <w:sz w:val="28"/>
          <w:szCs w:val="28"/>
        </w:rPr>
      </w:pPr>
      <w:r>
        <w:rPr>
          <w:rFonts w:hint="eastAsia" w:ascii="黑体" w:eastAsia="黑体" w:cs="黑体"/>
          <w:kern w:val="0"/>
          <w:sz w:val="28"/>
          <w:szCs w:val="28"/>
        </w:rPr>
        <w:t>四、评标标准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评标标准见</w:t>
      </w:r>
      <w:r>
        <w:rPr>
          <w:rFonts w:ascii="宋体" w:hAnsi="宋体" w:eastAsia="宋体" w:cs="宋体"/>
          <w:kern w:val="0"/>
          <w:sz w:val="24"/>
          <w:szCs w:val="24"/>
        </w:rPr>
        <w:t>附件3</w:t>
      </w:r>
      <w:r>
        <w:rPr>
          <w:rFonts w:hint="eastAsia" w:ascii="宋体" w:hAnsi="宋体" w:eastAsia="宋体" w:cs="宋体"/>
          <w:kern w:val="0"/>
          <w:sz w:val="24"/>
          <w:szCs w:val="24"/>
        </w:rPr>
        <w:t>。</w:t>
      </w:r>
    </w:p>
    <w:p>
      <w:pPr>
        <w:autoSpaceDE w:val="0"/>
        <w:autoSpaceDN w:val="0"/>
        <w:adjustRightInd w:val="0"/>
        <w:spacing w:before="100" w:beforeAutospacing="1"/>
        <w:outlineLvl w:val="0"/>
        <w:rPr>
          <w:rFonts w:ascii="黑体" w:eastAsia="黑体" w:cs="黑体"/>
          <w:kern w:val="0"/>
          <w:sz w:val="28"/>
          <w:szCs w:val="28"/>
        </w:rPr>
      </w:pPr>
      <w:r>
        <w:rPr>
          <w:rFonts w:hint="eastAsia" w:ascii="黑体" w:eastAsia="黑体" w:cs="黑体"/>
          <w:kern w:val="0"/>
          <w:sz w:val="28"/>
          <w:szCs w:val="28"/>
        </w:rPr>
        <w:t>五、采购程序安排</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1、递交投标文件截止时间</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4年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日</w:t>
      </w:r>
      <w:r>
        <w:rPr>
          <w:rFonts w:ascii="宋体" w:hAnsi="宋体" w:eastAsia="宋体" w:cs="宋体"/>
          <w:kern w:val="0"/>
          <w:sz w:val="24"/>
          <w:szCs w:val="24"/>
        </w:rPr>
        <w:t>1</w:t>
      </w:r>
      <w:r>
        <w:rPr>
          <w:rFonts w:hint="eastAsia" w:ascii="宋体" w:hAnsi="宋体" w:eastAsia="宋体" w:cs="宋体"/>
          <w:kern w:val="0"/>
          <w:sz w:val="24"/>
          <w:szCs w:val="24"/>
        </w:rPr>
        <w:t>6时30分，响应单位将响应文件加盖公章并密封后(一式三份，</w:t>
      </w:r>
      <w:r>
        <w:rPr>
          <w:rFonts w:ascii="宋体" w:hAnsi="宋体" w:eastAsia="宋体" w:cs="宋体"/>
          <w:kern w:val="0"/>
          <w:sz w:val="24"/>
          <w:szCs w:val="24"/>
        </w:rPr>
        <w:t>正本一份</w:t>
      </w:r>
      <w:r>
        <w:rPr>
          <w:rFonts w:hint="eastAsia" w:ascii="宋体" w:hAnsi="宋体" w:eastAsia="宋体" w:cs="宋体"/>
          <w:kern w:val="0"/>
          <w:sz w:val="24"/>
          <w:szCs w:val="24"/>
        </w:rPr>
        <w:t>，</w:t>
      </w:r>
      <w:r>
        <w:rPr>
          <w:rFonts w:ascii="宋体" w:hAnsi="宋体" w:eastAsia="宋体" w:cs="宋体"/>
          <w:kern w:val="0"/>
          <w:sz w:val="24"/>
          <w:szCs w:val="24"/>
        </w:rPr>
        <w:t>副本两份</w:t>
      </w:r>
      <w:r>
        <w:rPr>
          <w:rFonts w:hint="eastAsia" w:ascii="宋体" w:hAnsi="宋体" w:eastAsia="宋体" w:cs="宋体"/>
          <w:kern w:val="0"/>
          <w:sz w:val="24"/>
          <w:szCs w:val="24"/>
        </w:rPr>
        <w:t>)送上海黄金交易所，地址：上海市黄浦区中山南路69</w:t>
      </w:r>
      <w:r>
        <w:rPr>
          <w:rFonts w:ascii="宋体" w:hAnsi="宋体" w:eastAsia="宋体" w:cs="宋体"/>
          <w:kern w:val="0"/>
          <w:sz w:val="24"/>
          <w:szCs w:val="24"/>
        </w:rPr>
        <w:t>9</w:t>
      </w:r>
      <w:r>
        <w:rPr>
          <w:rFonts w:hint="eastAsia" w:ascii="宋体" w:hAnsi="宋体" w:eastAsia="宋体" w:cs="宋体"/>
          <w:kern w:val="0"/>
          <w:sz w:val="24"/>
          <w:szCs w:val="24"/>
        </w:rPr>
        <w:t>号9楼，接收人：吕女士，</w:t>
      </w:r>
      <w:r>
        <w:rPr>
          <w:rFonts w:ascii="宋体" w:hAnsi="宋体" w:eastAsia="宋体" w:cs="宋体"/>
          <w:kern w:val="0"/>
          <w:sz w:val="24"/>
          <w:szCs w:val="24"/>
        </w:rPr>
        <w:t>33128766</w:t>
      </w:r>
      <w:r>
        <w:rPr>
          <w:rFonts w:hint="eastAsia" w:ascii="宋体" w:hAnsi="宋体" w:eastAsia="宋体" w:cs="宋体"/>
          <w:kern w:val="0"/>
          <w:sz w:val="24"/>
          <w:szCs w:val="24"/>
        </w:rPr>
        <w:t>。建议请附上联系人名片。</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、上金所账户信息：</w:t>
      </w:r>
    </w:p>
    <w:p>
      <w:pPr>
        <w:autoSpaceDE w:val="0"/>
        <w:autoSpaceDN w:val="0"/>
        <w:adjustRightIn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单位名称</w:t>
      </w:r>
      <w:r>
        <w:rPr>
          <w:rFonts w:hint="eastAsia" w:ascii="宋体" w:hAnsi="宋体" w:eastAsia="宋体" w:cs="宋体"/>
          <w:kern w:val="0"/>
          <w:sz w:val="24"/>
          <w:szCs w:val="24"/>
        </w:rPr>
        <w:t>：上海黄金交易所</w:t>
      </w:r>
    </w:p>
    <w:p>
      <w:pPr>
        <w:autoSpaceDE w:val="0"/>
        <w:autoSpaceDN w:val="0"/>
        <w:adjustRightIn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开户银行</w:t>
      </w:r>
      <w:r>
        <w:rPr>
          <w:rFonts w:hint="eastAsia" w:ascii="宋体" w:hAnsi="宋体" w:eastAsia="宋体" w:cs="宋体"/>
          <w:kern w:val="0"/>
          <w:sz w:val="24"/>
          <w:szCs w:val="24"/>
        </w:rPr>
        <w:t>：中国工商银行浦东分行</w:t>
      </w:r>
    </w:p>
    <w:p>
      <w:pPr>
        <w:autoSpaceDE w:val="0"/>
        <w:autoSpaceDN w:val="0"/>
        <w:adjustRightIn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账号</w:t>
      </w:r>
      <w:r>
        <w:rPr>
          <w:rFonts w:hint="eastAsia" w:ascii="宋体" w:hAnsi="宋体" w:eastAsia="宋体" w:cs="宋体"/>
          <w:kern w:val="0"/>
          <w:sz w:val="24"/>
          <w:szCs w:val="24"/>
        </w:rPr>
        <w:t>：1001280909000000163</w:t>
      </w:r>
    </w:p>
    <w:p>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bookmarkStart w:id="0" w:name="_Hlk516563590"/>
      <w:r>
        <w:rPr>
          <w:rFonts w:ascii="宋体" w:hAnsi="宋体" w:eastAsia="宋体" w:cs="宋体"/>
          <w:b/>
          <w:kern w:val="0"/>
          <w:sz w:val="24"/>
          <w:szCs w:val="24"/>
        </w:rPr>
        <w:t>中标人在中标后须提交</w:t>
      </w:r>
      <w:r>
        <w:rPr>
          <w:rFonts w:hint="eastAsia" w:ascii="宋体" w:hAnsi="宋体" w:eastAsia="宋体" w:cs="宋体"/>
          <w:b/>
          <w:kern w:val="0"/>
          <w:sz w:val="24"/>
          <w:szCs w:val="24"/>
        </w:rPr>
        <w:t>加盖公章的</w:t>
      </w:r>
      <w:bookmarkStart w:id="1" w:name="_Hlk516563623"/>
      <w:r>
        <w:rPr>
          <w:rFonts w:hint="eastAsia" w:ascii="宋体" w:hAnsi="宋体" w:eastAsia="宋体" w:cs="宋体"/>
          <w:b/>
          <w:kern w:val="0"/>
          <w:sz w:val="24"/>
          <w:szCs w:val="24"/>
        </w:rPr>
        <w:t>资质文件</w:t>
      </w:r>
      <w:bookmarkEnd w:id="1"/>
      <w:r>
        <w:rPr>
          <w:rFonts w:hint="eastAsia" w:ascii="宋体" w:hAnsi="宋体" w:eastAsia="宋体" w:cs="宋体"/>
          <w:b/>
          <w:kern w:val="0"/>
          <w:sz w:val="24"/>
          <w:szCs w:val="24"/>
        </w:rPr>
        <w:t>P</w:t>
      </w:r>
      <w:r>
        <w:rPr>
          <w:rFonts w:ascii="宋体" w:hAnsi="宋体" w:eastAsia="宋体" w:cs="宋体"/>
          <w:b/>
          <w:kern w:val="0"/>
          <w:sz w:val="24"/>
          <w:szCs w:val="24"/>
        </w:rPr>
        <w:t>DF版本</w:t>
      </w:r>
      <w:bookmarkEnd w:id="0"/>
      <w:r>
        <w:rPr>
          <w:rFonts w:hint="eastAsia" w:ascii="宋体" w:hAnsi="宋体" w:eastAsia="宋体" w:cs="宋体"/>
          <w:b/>
          <w:kern w:val="0"/>
          <w:sz w:val="24"/>
          <w:szCs w:val="24"/>
        </w:rPr>
        <w:t>。</w:t>
      </w:r>
    </w:p>
    <w:p>
      <w:pPr>
        <w:autoSpaceDE w:val="0"/>
        <w:autoSpaceDN w:val="0"/>
        <w:adjustRightInd w:val="0"/>
        <w:spacing w:line="360" w:lineRule="auto"/>
        <w:ind w:right="480" w:firstLine="480" w:firstLineChars="200"/>
        <w:rPr>
          <w:rFonts w:ascii="宋体" w:hAnsi="宋体" w:eastAsia="宋体" w:cs="宋体"/>
          <w:kern w:val="0"/>
          <w:sz w:val="24"/>
          <w:szCs w:val="24"/>
        </w:rPr>
      </w:pPr>
    </w:p>
    <w:p>
      <w:pPr>
        <w:autoSpaceDE w:val="0"/>
        <w:autoSpaceDN w:val="0"/>
        <w:adjustRightInd w:val="0"/>
        <w:spacing w:line="360" w:lineRule="auto"/>
        <w:ind w:right="480" w:firstLine="5160" w:firstLineChars="2150"/>
        <w:rPr>
          <w:rFonts w:ascii="宋体" w:hAnsi="宋体" w:eastAsia="宋体" w:cs="宋体"/>
          <w:kern w:val="0"/>
          <w:sz w:val="24"/>
          <w:szCs w:val="24"/>
        </w:rPr>
      </w:pPr>
      <w:r>
        <w:rPr>
          <w:rFonts w:hint="eastAsia" w:ascii="宋体" w:hAnsi="宋体" w:eastAsia="宋体" w:cs="宋体"/>
          <w:kern w:val="0"/>
          <w:sz w:val="24"/>
          <w:szCs w:val="24"/>
        </w:rPr>
        <w:t>上海黄金交易所</w:t>
      </w:r>
    </w:p>
    <w:p>
      <w:pPr>
        <w:autoSpaceDE w:val="0"/>
        <w:autoSpaceDN w:val="0"/>
        <w:adjustRightInd w:val="0"/>
        <w:spacing w:line="360" w:lineRule="auto"/>
        <w:ind w:right="480" w:firstLine="5244" w:firstLineChars="2185"/>
        <w:rPr>
          <w:rFonts w:ascii="宋体" w:hAnsi="宋体" w:eastAsia="宋体" w:cs="宋体"/>
          <w:kern w:val="0"/>
          <w:sz w:val="24"/>
          <w:szCs w:val="24"/>
        </w:rPr>
      </w:pPr>
      <w:bookmarkStart w:id="2" w:name="_GoBack"/>
      <w:bookmarkEnd w:id="2"/>
      <w:r>
        <w:rPr>
          <w:rFonts w:ascii="宋体" w:hAnsi="宋体" w:eastAsia="宋体" w:cs="宋体"/>
          <w:kern w:val="0"/>
          <w:sz w:val="24"/>
          <w:szCs w:val="24"/>
        </w:rPr>
        <w:t>202</w:t>
      </w:r>
      <w:r>
        <w:rPr>
          <w:rFonts w:hint="eastAsia" w:ascii="宋体" w:hAnsi="宋体" w:eastAsia="宋体" w:cs="宋体"/>
          <w:kern w:val="0"/>
          <w:sz w:val="24"/>
          <w:szCs w:val="24"/>
        </w:rPr>
        <w:t>4年</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w:t>
      </w:r>
      <w:r>
        <w:rPr>
          <w:rFonts w:ascii="宋体" w:hAnsi="宋体" w:eastAsia="宋体" w:cs="宋体"/>
          <w:kern w:val="0"/>
          <w:sz w:val="24"/>
          <w:szCs w:val="24"/>
        </w:rPr>
        <w:br w:type="page"/>
      </w:r>
    </w:p>
    <w:p>
      <w:pPr>
        <w:pStyle w:val="9"/>
        <w:jc w:val="both"/>
        <w:rPr>
          <w:rFonts w:asciiTheme="minorEastAsia" w:hAnsiTheme="minorEastAsia"/>
          <w:b w:val="0"/>
          <w:bCs w:val="0"/>
          <w:sz w:val="24"/>
          <w:szCs w:val="24"/>
        </w:rPr>
      </w:pPr>
      <w:r>
        <w:rPr>
          <w:rFonts w:hint="eastAsia" w:asciiTheme="minorEastAsia" w:hAnsiTheme="minorEastAsia"/>
          <w:b w:val="0"/>
          <w:bCs w:val="0"/>
          <w:sz w:val="24"/>
          <w:szCs w:val="24"/>
        </w:rPr>
        <w:t>附件</w:t>
      </w:r>
      <w:r>
        <w:rPr>
          <w:rFonts w:asciiTheme="minorEastAsia" w:hAnsiTheme="minorEastAsia"/>
          <w:b w:val="0"/>
          <w:bCs w:val="0"/>
          <w:sz w:val="24"/>
          <w:szCs w:val="24"/>
        </w:rPr>
        <w:t>1</w:t>
      </w:r>
    </w:p>
    <w:p>
      <w:pPr>
        <w:pStyle w:val="5"/>
        <w:ind w:left="0" w:leftChars="0" w:firstLine="0" w:firstLineChars="0"/>
        <w:jc w:val="center"/>
        <w:rPr>
          <w:rFonts w:hAnsi="宋体"/>
          <w:b/>
          <w:sz w:val="32"/>
          <w:szCs w:val="32"/>
        </w:rPr>
      </w:pPr>
      <w:r>
        <w:rPr>
          <w:rFonts w:hint="eastAsia" w:hAnsi="宋体"/>
          <w:b/>
          <w:sz w:val="32"/>
          <w:szCs w:val="32"/>
        </w:rPr>
        <w:t>项目技术需求</w:t>
      </w:r>
    </w:p>
    <w:p>
      <w:pPr>
        <w:rPr>
          <w:rFonts w:ascii="仿宋" w:hAnsi="仿宋" w:eastAsia="仿宋"/>
          <w:sz w:val="24"/>
          <w:szCs w:val="24"/>
        </w:rPr>
      </w:pPr>
    </w:p>
    <w:p>
      <w:pPr>
        <w:pStyle w:val="17"/>
        <w:numPr>
          <w:ilvl w:val="0"/>
          <w:numId w:val="4"/>
        </w:numPr>
        <w:spacing w:line="360" w:lineRule="auto"/>
        <w:ind w:firstLineChars="0"/>
        <w:rPr>
          <w:rFonts w:ascii="宋体" w:hAnsi="宋体" w:cs="宋体"/>
          <w:b/>
          <w:bCs/>
          <w:szCs w:val="24"/>
        </w:rPr>
      </w:pPr>
      <w:r>
        <w:rPr>
          <w:rFonts w:hint="eastAsia" w:ascii="宋体" w:hAnsi="宋体" w:cs="宋体"/>
          <w:b/>
          <w:bCs/>
          <w:szCs w:val="24"/>
        </w:rPr>
        <w:t>原厂服务清单</w:t>
      </w:r>
    </w:p>
    <w:p>
      <w:pPr>
        <w:pStyle w:val="17"/>
        <w:numPr>
          <w:ilvl w:val="0"/>
          <w:numId w:val="5"/>
        </w:numPr>
        <w:spacing w:line="360" w:lineRule="auto"/>
        <w:ind w:firstLineChars="0"/>
        <w:rPr>
          <w:rFonts w:ascii="宋体" w:hAnsi="宋体" w:cs="宋体"/>
          <w:color w:val="000000"/>
          <w:szCs w:val="24"/>
        </w:rPr>
      </w:pPr>
      <w:r>
        <w:rPr>
          <w:rFonts w:hint="eastAsia" w:ascii="宋体" w:hAnsi="宋体" w:cs="宋体"/>
          <w:color w:val="000000"/>
          <w:szCs w:val="24"/>
        </w:rPr>
        <w:t>服务级别：7×24小时</w:t>
      </w:r>
    </w:p>
    <w:p>
      <w:pPr>
        <w:pStyle w:val="17"/>
        <w:numPr>
          <w:ilvl w:val="0"/>
          <w:numId w:val="5"/>
        </w:numPr>
        <w:spacing w:line="360" w:lineRule="auto"/>
        <w:ind w:firstLineChars="0"/>
        <w:rPr>
          <w:rFonts w:ascii="宋体" w:hAnsi="宋体" w:cs="宋体"/>
          <w:color w:val="000000"/>
          <w:szCs w:val="24"/>
        </w:rPr>
      </w:pPr>
      <w:r>
        <w:rPr>
          <w:rFonts w:hint="eastAsia" w:ascii="宋体" w:hAnsi="宋体" w:cs="宋体"/>
          <w:color w:val="000000"/>
          <w:szCs w:val="24"/>
        </w:rPr>
        <w:t>产品列表：</w:t>
      </w:r>
    </w:p>
    <w:tbl>
      <w:tblPr>
        <w:tblStyle w:val="11"/>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2146"/>
        <w:gridCol w:w="1131"/>
        <w:gridCol w:w="1555"/>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15" w:lineRule="atLeast"/>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559" w:type="dxa"/>
            <w:vAlign w:val="center"/>
          </w:tcPr>
          <w:p>
            <w:pPr>
              <w:widowControl/>
              <w:spacing w:line="315" w:lineRule="atLeast"/>
              <w:jc w:val="center"/>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项目</w:t>
            </w:r>
          </w:p>
        </w:tc>
        <w:tc>
          <w:tcPr>
            <w:tcW w:w="2146" w:type="dxa"/>
          </w:tcPr>
          <w:p>
            <w:pPr>
              <w:widowControl/>
              <w:spacing w:line="315" w:lineRule="atLeas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1131" w:type="dxa"/>
            <w:vAlign w:val="center"/>
          </w:tcPr>
          <w:p>
            <w:pPr>
              <w:widowControl/>
              <w:spacing w:line="315" w:lineRule="atLeast"/>
              <w:jc w:val="center"/>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数量</w:t>
            </w:r>
          </w:p>
        </w:tc>
        <w:tc>
          <w:tcPr>
            <w:tcW w:w="1555" w:type="dxa"/>
            <w:vAlign w:val="center"/>
          </w:tcPr>
          <w:p>
            <w:pPr>
              <w:widowControl/>
              <w:spacing w:line="315" w:lineRule="atLeas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序列号</w:t>
            </w:r>
          </w:p>
        </w:tc>
        <w:tc>
          <w:tcPr>
            <w:tcW w:w="1416" w:type="dxa"/>
            <w:vAlign w:val="center"/>
          </w:tcPr>
          <w:p>
            <w:pPr>
              <w:widowControl/>
              <w:spacing w:line="315" w:lineRule="atLeas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开始时间</w:t>
            </w:r>
          </w:p>
        </w:tc>
        <w:tc>
          <w:tcPr>
            <w:tcW w:w="1416" w:type="dxa"/>
            <w:vAlign w:val="center"/>
          </w:tcPr>
          <w:p>
            <w:pPr>
              <w:widowControl/>
              <w:spacing w:line="315" w:lineRule="atLeas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4" w:type="dxa"/>
            <w:vMerge w:val="restart"/>
            <w:vAlign w:val="center"/>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59" w:type="dxa"/>
            <w:vMerge w:val="restart"/>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OA、邮箱（达梦数据库集群*1套）</w:t>
            </w:r>
          </w:p>
        </w:tc>
        <w:tc>
          <w:tcPr>
            <w:tcW w:w="2146" w:type="dxa"/>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达梦数据库管理系统</w:t>
            </w:r>
          </w:p>
        </w:tc>
        <w:tc>
          <w:tcPr>
            <w:tcW w:w="1131" w:type="dxa"/>
            <w:vAlign w:val="center"/>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2节点(4C)</w:t>
            </w:r>
          </w:p>
        </w:tc>
        <w:tc>
          <w:tcPr>
            <w:tcW w:w="1555" w:type="dxa"/>
            <w:vMerge w:val="restart"/>
            <w:vAlign w:val="center"/>
          </w:tcPr>
          <w:p>
            <w:pPr>
              <w:widowControl/>
              <w:spacing w:line="315" w:lineRule="atLeast"/>
              <w:jc w:val="center"/>
              <w:rPr>
                <w:rFonts w:ascii="宋体" w:hAnsi="宋体" w:eastAsia="宋体" w:cs="宋体"/>
                <w:sz w:val="24"/>
                <w:szCs w:val="24"/>
              </w:rPr>
            </w:pPr>
            <w:r>
              <w:rPr>
                <w:rFonts w:hint="eastAsia" w:ascii="宋体" w:hAnsi="宋体" w:eastAsia="宋体" w:cs="宋体"/>
                <w:sz w:val="24"/>
                <w:szCs w:val="24"/>
              </w:rPr>
              <w:t>AC061513</w:t>
            </w:r>
          </w:p>
          <w:p>
            <w:pPr>
              <w:widowControl/>
              <w:spacing w:line="315" w:lineRule="atLeast"/>
              <w:jc w:val="center"/>
              <w:rPr>
                <w:rFonts w:ascii="宋体" w:hAnsi="宋体" w:eastAsia="宋体" w:cs="宋体"/>
                <w:sz w:val="24"/>
                <w:szCs w:val="24"/>
              </w:rPr>
            </w:pPr>
            <w:r>
              <w:rPr>
                <w:rFonts w:hint="eastAsia" w:ascii="宋体" w:hAnsi="宋体" w:eastAsia="宋体" w:cs="宋体"/>
                <w:sz w:val="24"/>
                <w:szCs w:val="24"/>
              </w:rPr>
              <w:t>74061496</w:t>
            </w:r>
          </w:p>
        </w:tc>
        <w:tc>
          <w:tcPr>
            <w:tcW w:w="1416" w:type="dxa"/>
            <w:vMerge w:val="restart"/>
            <w:vAlign w:val="center"/>
          </w:tcPr>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sz w:val="24"/>
                <w:szCs w:val="24"/>
              </w:rPr>
              <w:t>2024/10/15</w:t>
            </w:r>
          </w:p>
        </w:tc>
        <w:tc>
          <w:tcPr>
            <w:tcW w:w="1416" w:type="dxa"/>
            <w:vMerge w:val="restart"/>
            <w:vAlign w:val="center"/>
          </w:tcPr>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2025/10/14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vMerge w:val="continue"/>
            <w:vAlign w:val="center"/>
          </w:tcPr>
          <w:p>
            <w:pPr>
              <w:spacing w:line="315" w:lineRule="atLeast"/>
              <w:jc w:val="center"/>
              <w:rPr>
                <w:rFonts w:ascii="宋体" w:hAnsi="宋体" w:eastAsia="宋体" w:cs="宋体"/>
                <w:color w:val="000000"/>
                <w:kern w:val="0"/>
                <w:sz w:val="24"/>
                <w:szCs w:val="24"/>
              </w:rPr>
            </w:pPr>
          </w:p>
        </w:tc>
        <w:tc>
          <w:tcPr>
            <w:tcW w:w="1559" w:type="dxa"/>
            <w:vMerge w:val="continue"/>
            <w:vAlign w:val="center"/>
          </w:tcPr>
          <w:p>
            <w:pPr>
              <w:widowControl/>
              <w:spacing w:line="315" w:lineRule="atLeast"/>
              <w:jc w:val="left"/>
              <w:rPr>
                <w:rFonts w:ascii="宋体" w:hAnsi="宋体" w:eastAsia="宋体" w:cs="宋体"/>
                <w:color w:val="000000"/>
                <w:kern w:val="0"/>
                <w:sz w:val="24"/>
                <w:szCs w:val="24"/>
              </w:rPr>
            </w:pPr>
          </w:p>
        </w:tc>
        <w:tc>
          <w:tcPr>
            <w:tcW w:w="2146" w:type="dxa"/>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达梦数据守护集群组件</w:t>
            </w:r>
          </w:p>
        </w:tc>
        <w:tc>
          <w:tcPr>
            <w:tcW w:w="1131" w:type="dxa"/>
            <w:vAlign w:val="center"/>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1套</w:t>
            </w:r>
          </w:p>
        </w:tc>
        <w:tc>
          <w:tcPr>
            <w:tcW w:w="1555" w:type="dxa"/>
            <w:vMerge w:val="continue"/>
            <w:vAlign w:val="center"/>
          </w:tcPr>
          <w:p>
            <w:pPr>
              <w:widowControl/>
              <w:spacing w:line="315" w:lineRule="atLeast"/>
              <w:jc w:val="center"/>
              <w:rPr>
                <w:rFonts w:ascii="宋体" w:hAnsi="宋体" w:eastAsia="宋体" w:cs="宋体"/>
                <w:sz w:val="24"/>
                <w:szCs w:val="24"/>
              </w:rPr>
            </w:pPr>
          </w:p>
        </w:tc>
        <w:tc>
          <w:tcPr>
            <w:tcW w:w="1416" w:type="dxa"/>
            <w:vMerge w:val="continue"/>
            <w:vAlign w:val="center"/>
          </w:tcPr>
          <w:p>
            <w:pPr>
              <w:widowControl/>
              <w:spacing w:line="315" w:lineRule="atLeast"/>
              <w:jc w:val="center"/>
              <w:rPr>
                <w:rFonts w:ascii="宋体" w:hAnsi="宋体" w:eastAsia="宋体" w:cs="宋体"/>
                <w:sz w:val="24"/>
                <w:szCs w:val="24"/>
              </w:rPr>
            </w:pPr>
          </w:p>
        </w:tc>
        <w:tc>
          <w:tcPr>
            <w:tcW w:w="1416" w:type="dxa"/>
            <w:vMerge w:val="continue"/>
            <w:vAlign w:val="center"/>
          </w:tcPr>
          <w:p>
            <w:pPr>
              <w:widowControl/>
              <w:spacing w:line="315" w:lineRule="atLeast"/>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4" w:type="dxa"/>
            <w:vMerge w:val="restart"/>
            <w:vAlign w:val="center"/>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59" w:type="dxa"/>
            <w:vMerge w:val="restart"/>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官网、外网邮箱(达梦数据库集群*2套)</w:t>
            </w:r>
          </w:p>
        </w:tc>
        <w:tc>
          <w:tcPr>
            <w:tcW w:w="2146" w:type="dxa"/>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达梦数据库管理系统</w:t>
            </w:r>
          </w:p>
        </w:tc>
        <w:tc>
          <w:tcPr>
            <w:tcW w:w="1131" w:type="dxa"/>
            <w:vAlign w:val="center"/>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4节点(8C)</w:t>
            </w:r>
          </w:p>
        </w:tc>
        <w:tc>
          <w:tcPr>
            <w:tcW w:w="1555" w:type="dxa"/>
            <w:vMerge w:val="restart"/>
            <w:vAlign w:val="center"/>
          </w:tcPr>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FB01081388</w:t>
            </w:r>
          </w:p>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FC01081389</w:t>
            </w:r>
          </w:p>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D601081390</w:t>
            </w:r>
          </w:p>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D101081391</w:t>
            </w:r>
          </w:p>
        </w:tc>
        <w:tc>
          <w:tcPr>
            <w:tcW w:w="1416" w:type="dxa"/>
            <w:vMerge w:val="restart"/>
            <w:vAlign w:val="center"/>
          </w:tcPr>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2024/9/21</w:t>
            </w:r>
          </w:p>
        </w:tc>
        <w:tc>
          <w:tcPr>
            <w:tcW w:w="1416" w:type="dxa"/>
            <w:vMerge w:val="restart"/>
            <w:vAlign w:val="center"/>
          </w:tcPr>
          <w:p>
            <w:pPr>
              <w:widowControl/>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2025/10/14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vMerge w:val="continue"/>
            <w:vAlign w:val="center"/>
          </w:tcPr>
          <w:p>
            <w:pPr>
              <w:spacing w:line="315" w:lineRule="atLeast"/>
              <w:jc w:val="center"/>
              <w:rPr>
                <w:rFonts w:ascii="宋体" w:hAnsi="宋体" w:eastAsia="宋体" w:cs="宋体"/>
                <w:color w:val="000000"/>
                <w:kern w:val="0"/>
                <w:sz w:val="24"/>
                <w:szCs w:val="24"/>
              </w:rPr>
            </w:pPr>
          </w:p>
        </w:tc>
        <w:tc>
          <w:tcPr>
            <w:tcW w:w="1559" w:type="dxa"/>
            <w:vMerge w:val="continue"/>
            <w:vAlign w:val="center"/>
          </w:tcPr>
          <w:p>
            <w:pPr>
              <w:widowControl/>
              <w:spacing w:line="315" w:lineRule="atLeast"/>
              <w:jc w:val="left"/>
              <w:rPr>
                <w:rFonts w:ascii="宋体" w:hAnsi="宋体" w:eastAsia="宋体" w:cs="宋体"/>
                <w:color w:val="000000"/>
                <w:kern w:val="0"/>
                <w:sz w:val="24"/>
                <w:szCs w:val="24"/>
              </w:rPr>
            </w:pPr>
          </w:p>
        </w:tc>
        <w:tc>
          <w:tcPr>
            <w:tcW w:w="2146" w:type="dxa"/>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达梦数据守护集群组件</w:t>
            </w:r>
          </w:p>
        </w:tc>
        <w:tc>
          <w:tcPr>
            <w:tcW w:w="1131" w:type="dxa"/>
            <w:vAlign w:val="center"/>
          </w:tcPr>
          <w:p>
            <w:pPr>
              <w:spacing w:line="315"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2套</w:t>
            </w:r>
          </w:p>
        </w:tc>
        <w:tc>
          <w:tcPr>
            <w:tcW w:w="1555" w:type="dxa"/>
            <w:vMerge w:val="continue"/>
            <w:vAlign w:val="center"/>
          </w:tcPr>
          <w:p>
            <w:pPr>
              <w:widowControl/>
              <w:spacing w:line="315" w:lineRule="atLeast"/>
              <w:jc w:val="center"/>
              <w:rPr>
                <w:rFonts w:ascii="宋体" w:hAnsi="宋体" w:eastAsia="宋体" w:cs="宋体"/>
                <w:color w:val="000000"/>
                <w:kern w:val="0"/>
                <w:sz w:val="24"/>
                <w:szCs w:val="24"/>
              </w:rPr>
            </w:pPr>
          </w:p>
        </w:tc>
        <w:tc>
          <w:tcPr>
            <w:tcW w:w="1416" w:type="dxa"/>
            <w:vMerge w:val="continue"/>
            <w:vAlign w:val="center"/>
          </w:tcPr>
          <w:p>
            <w:pPr>
              <w:widowControl/>
              <w:spacing w:line="315" w:lineRule="atLeast"/>
              <w:jc w:val="center"/>
              <w:rPr>
                <w:rFonts w:ascii="宋体" w:hAnsi="宋体" w:eastAsia="宋体" w:cs="宋体"/>
                <w:color w:val="000000"/>
                <w:kern w:val="0"/>
                <w:sz w:val="24"/>
                <w:szCs w:val="24"/>
              </w:rPr>
            </w:pPr>
          </w:p>
        </w:tc>
        <w:tc>
          <w:tcPr>
            <w:tcW w:w="1416" w:type="dxa"/>
            <w:vMerge w:val="continue"/>
            <w:vAlign w:val="center"/>
          </w:tcPr>
          <w:p>
            <w:pPr>
              <w:widowControl/>
              <w:spacing w:line="315" w:lineRule="atLeast"/>
              <w:jc w:val="center"/>
              <w:rPr>
                <w:rFonts w:ascii="宋体" w:hAnsi="宋体" w:eastAsia="宋体" w:cs="宋体"/>
                <w:color w:val="000000"/>
                <w:kern w:val="0"/>
                <w:sz w:val="24"/>
                <w:szCs w:val="24"/>
              </w:rPr>
            </w:pPr>
          </w:p>
        </w:tc>
      </w:tr>
    </w:tbl>
    <w:p>
      <w:pPr>
        <w:spacing w:before="312" w:beforeLines="100" w:after="312" w:afterLines="100" w:line="360" w:lineRule="auto"/>
        <w:rPr>
          <w:rFonts w:ascii="宋体" w:hAnsi="宋体" w:eastAsia="宋体" w:cs="宋体"/>
          <w:b/>
          <w:bCs/>
          <w:sz w:val="24"/>
          <w:szCs w:val="24"/>
        </w:rPr>
      </w:pPr>
      <w:r>
        <w:rPr>
          <w:rFonts w:hint="eastAsia" w:ascii="宋体" w:hAnsi="宋体" w:eastAsia="宋体" w:cs="宋体"/>
          <w:b/>
          <w:bCs/>
          <w:sz w:val="24"/>
          <w:szCs w:val="24"/>
        </w:rPr>
        <w:t>二、 原厂服务SLA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8"/>
        <w:gridCol w:w="463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558" w:type="dxa"/>
            <w:vAlign w:val="center"/>
          </w:tcPr>
          <w:p>
            <w:pPr>
              <w:widowControl/>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服务项目</w:t>
            </w:r>
          </w:p>
        </w:tc>
        <w:tc>
          <w:tcPr>
            <w:tcW w:w="4632" w:type="dxa"/>
            <w:vAlign w:val="center"/>
          </w:tcPr>
          <w:p>
            <w:pPr>
              <w:widowControl/>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服务内容</w:t>
            </w:r>
          </w:p>
        </w:tc>
        <w:tc>
          <w:tcPr>
            <w:tcW w:w="0" w:type="auto"/>
            <w:vAlign w:val="center"/>
          </w:tcPr>
          <w:p>
            <w:pPr>
              <w:widowControl/>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58"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数据库开发支持服务</w:t>
            </w:r>
          </w:p>
        </w:tc>
        <w:tc>
          <w:tcPr>
            <w:tcW w:w="4632"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配合项目开发，向开发人员提供技术支持。</w:t>
            </w:r>
          </w:p>
        </w:tc>
        <w:tc>
          <w:tcPr>
            <w:tcW w:w="0" w:type="auto"/>
            <w:vAlign w:val="center"/>
          </w:tcPr>
          <w:p>
            <w:pPr>
              <w:widowControl/>
              <w:spacing w:line="315" w:lineRule="atLeast"/>
              <w:jc w:val="left"/>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58"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使用培训服务</w:t>
            </w:r>
          </w:p>
        </w:tc>
        <w:tc>
          <w:tcPr>
            <w:tcW w:w="4632" w:type="dxa"/>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提供不少于一次达梦数据库专业技术的用户现场培训。</w:t>
            </w:r>
          </w:p>
        </w:tc>
        <w:tc>
          <w:tcPr>
            <w:tcW w:w="0" w:type="auto"/>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58"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定期巡检服务</w:t>
            </w:r>
          </w:p>
        </w:tc>
        <w:tc>
          <w:tcPr>
            <w:tcW w:w="4632" w:type="dxa"/>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提供月度定期现场巡检。每月一次。</w:t>
            </w:r>
          </w:p>
        </w:tc>
        <w:tc>
          <w:tcPr>
            <w:tcW w:w="0" w:type="auto"/>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提交《数据库巡检报告》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558"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数据库补丁升级服务</w:t>
            </w:r>
          </w:p>
        </w:tc>
        <w:tc>
          <w:tcPr>
            <w:tcW w:w="4632" w:type="dxa"/>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依据软件开发控制流程进行规范化管理，以保证升级版本的质量。遇产品补丁发布通知用户，发现产品缺陷及时组织技术攻关。达梦技术人员负责软件新版本的下发和部署。</w:t>
            </w:r>
          </w:p>
        </w:tc>
        <w:tc>
          <w:tcPr>
            <w:tcW w:w="0" w:type="auto"/>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提交《数据库版本升级报告》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558"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紧急故障援救服务</w:t>
            </w:r>
          </w:p>
        </w:tc>
        <w:tc>
          <w:tcPr>
            <w:tcW w:w="4632" w:type="dxa"/>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收到用户技术支持与售后服务请求，在30 分钟内响应，联系用户核实故障情况，收集故障信息。如需现场服务，派出资深技术人员2 小时内到达用户故障现场，分析故障原因，确定故障点，进行故障排除。</w:t>
            </w:r>
          </w:p>
        </w:tc>
        <w:tc>
          <w:tcPr>
            <w:tcW w:w="0" w:type="auto"/>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提交《数据库故障救援服务报告》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558" w:type="dxa"/>
            <w:vAlign w:val="center"/>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远程技术支持</w:t>
            </w:r>
          </w:p>
        </w:tc>
        <w:tc>
          <w:tcPr>
            <w:tcW w:w="4632" w:type="dxa"/>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提供电话、邮件等7*24小时技术支持</w:t>
            </w:r>
          </w:p>
        </w:tc>
        <w:tc>
          <w:tcPr>
            <w:tcW w:w="0" w:type="auto"/>
            <w:vAlign w:val="center"/>
          </w:tcPr>
          <w:p>
            <w:pPr>
              <w:widowControl/>
              <w:autoSpaceDE w:val="0"/>
              <w:autoSpaceDN w:val="0"/>
              <w:adjustRightInd w:val="0"/>
              <w:spacing w:line="315" w:lineRule="atLeast"/>
              <w:jc w:val="left"/>
              <w:rPr>
                <w:rFonts w:ascii="宋体" w:hAnsi="宋体" w:eastAsia="宋体" w:cs="宋体"/>
                <w:color w:val="000000"/>
                <w:kern w:val="0"/>
                <w:sz w:val="24"/>
                <w:szCs w:val="24"/>
              </w:rPr>
            </w:pPr>
          </w:p>
        </w:tc>
      </w:tr>
    </w:tbl>
    <w:p>
      <w:pPr>
        <w:spacing w:before="312" w:beforeLines="100" w:after="312" w:afterLines="100" w:line="360" w:lineRule="auto"/>
        <w:rPr>
          <w:rFonts w:ascii="宋体" w:hAnsi="宋体" w:eastAsia="宋体" w:cs="宋体"/>
          <w:b/>
          <w:bCs/>
          <w:sz w:val="24"/>
          <w:szCs w:val="24"/>
        </w:rPr>
      </w:pPr>
    </w:p>
    <w:p>
      <w:pPr>
        <w:spacing w:before="312" w:beforeLines="100" w:after="312" w:afterLines="100" w:line="360" w:lineRule="auto"/>
        <w:rPr>
          <w:rFonts w:ascii="宋体" w:hAnsi="宋体" w:eastAsia="宋体" w:cs="宋体"/>
          <w:b/>
          <w:bCs/>
          <w:sz w:val="24"/>
          <w:szCs w:val="24"/>
        </w:rPr>
      </w:pPr>
      <w:r>
        <w:rPr>
          <w:rFonts w:hint="eastAsia" w:ascii="宋体" w:hAnsi="宋体" w:eastAsia="宋体" w:cs="宋体"/>
          <w:b/>
          <w:bCs/>
          <w:sz w:val="24"/>
          <w:szCs w:val="24"/>
        </w:rPr>
        <w:t>三、原厂人天服务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88"/>
        <w:gridCol w:w="404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188" w:type="dxa"/>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服务项目</w:t>
            </w:r>
          </w:p>
        </w:tc>
        <w:tc>
          <w:tcPr>
            <w:tcW w:w="4049" w:type="dxa"/>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服务内容</w:t>
            </w:r>
          </w:p>
        </w:tc>
        <w:tc>
          <w:tcPr>
            <w:tcW w:w="1355" w:type="dxa"/>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人天数量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88" w:type="dxa"/>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现场技术支持服务</w:t>
            </w:r>
          </w:p>
        </w:tc>
        <w:tc>
          <w:tcPr>
            <w:tcW w:w="4049" w:type="dxa"/>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数据库优化、备份恢复问题处理、数据迁移等数据库专业技术支持</w:t>
            </w:r>
          </w:p>
        </w:tc>
        <w:tc>
          <w:tcPr>
            <w:tcW w:w="1355" w:type="dxa"/>
            <w:vMerge w:val="restart"/>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88" w:type="dxa"/>
          </w:tcPr>
          <w:p>
            <w:pPr>
              <w:widowControl/>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现场值守服务</w:t>
            </w:r>
          </w:p>
        </w:tc>
        <w:tc>
          <w:tcPr>
            <w:tcW w:w="4049" w:type="dxa"/>
          </w:tcPr>
          <w:p>
            <w:pPr>
              <w:widowControl/>
              <w:autoSpaceDE w:val="0"/>
              <w:autoSpaceDN w:val="0"/>
              <w:adjustRightInd w:val="0"/>
              <w:spacing w:line="315"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关键时间节点(如国家重要会议或节日、系统上线等)，根据甲方需要，提供原厂工程师现场值守服务。</w:t>
            </w:r>
          </w:p>
        </w:tc>
        <w:tc>
          <w:tcPr>
            <w:tcW w:w="1355" w:type="dxa"/>
            <w:vMerge w:val="continue"/>
          </w:tcPr>
          <w:p>
            <w:pPr>
              <w:widowControl/>
              <w:autoSpaceDE w:val="0"/>
              <w:autoSpaceDN w:val="0"/>
              <w:adjustRightInd w:val="0"/>
              <w:spacing w:line="315" w:lineRule="atLeast"/>
              <w:jc w:val="left"/>
              <w:rPr>
                <w:rFonts w:ascii="宋体" w:hAnsi="宋体" w:eastAsia="宋体" w:cs="宋体"/>
                <w:color w:val="000000"/>
                <w:kern w:val="0"/>
                <w:sz w:val="24"/>
                <w:szCs w:val="24"/>
              </w:rPr>
            </w:pPr>
          </w:p>
        </w:tc>
      </w:tr>
    </w:tbl>
    <w:p>
      <w:pPr>
        <w:pStyle w:val="5"/>
        <w:ind w:left="0" w:leftChars="0" w:firstLine="0" w:firstLineChars="0"/>
        <w:rPr>
          <w:rFonts w:hAnsi="宋体" w:cs="宋体"/>
          <w:szCs w:val="24"/>
        </w:rPr>
      </w:pPr>
    </w:p>
    <w:p>
      <w:pPr>
        <w:pStyle w:val="5"/>
        <w:ind w:left="0" w:leftChars="0" w:firstLine="0" w:firstLineChars="0"/>
        <w:rPr>
          <w:rFonts w:hAnsi="宋体"/>
          <w:szCs w:val="24"/>
        </w:rPr>
      </w:pPr>
    </w:p>
    <w:p>
      <w:pPr>
        <w:widowControl/>
        <w:jc w:val="left"/>
        <w:rPr>
          <w:rFonts w:ascii="宋体" w:hAnsi="宋体" w:eastAsia="宋体" w:cs="Times New Roman"/>
          <w:spacing w:val="10"/>
          <w:sz w:val="24"/>
          <w:szCs w:val="24"/>
        </w:rPr>
      </w:pPr>
      <w:r>
        <w:rPr>
          <w:rFonts w:hAnsi="宋体"/>
          <w:szCs w:val="24"/>
        </w:rPr>
        <w:br w:type="page"/>
      </w:r>
    </w:p>
    <w:p>
      <w:pPr>
        <w:pStyle w:val="9"/>
        <w:jc w:val="both"/>
        <w:rPr>
          <w:rFonts w:ascii="宋体" w:hAnsi="宋体"/>
          <w:b w:val="0"/>
          <w:sz w:val="24"/>
          <w:szCs w:val="24"/>
        </w:rPr>
      </w:pPr>
      <w:r>
        <w:rPr>
          <w:rFonts w:hint="eastAsia" w:ascii="宋体" w:hAnsi="宋体"/>
          <w:b w:val="0"/>
          <w:sz w:val="24"/>
          <w:szCs w:val="24"/>
        </w:rPr>
        <w:t>附件</w:t>
      </w:r>
      <w:r>
        <w:rPr>
          <w:rFonts w:ascii="宋体" w:hAnsi="宋体"/>
          <w:b w:val="0"/>
          <w:sz w:val="24"/>
          <w:szCs w:val="24"/>
        </w:rPr>
        <w:t>2</w:t>
      </w:r>
      <w:r>
        <w:rPr>
          <w:rFonts w:hint="eastAsia" w:ascii="宋体" w:hAnsi="宋体"/>
          <w:b w:val="0"/>
          <w:sz w:val="24"/>
          <w:szCs w:val="24"/>
        </w:rPr>
        <w:t>：</w:t>
      </w:r>
      <w:r>
        <w:rPr>
          <w:rFonts w:ascii="宋体" w:hAnsi="宋体"/>
          <w:b w:val="0"/>
          <w:sz w:val="24"/>
          <w:szCs w:val="24"/>
        </w:rPr>
        <w:t>法人代表</w:t>
      </w:r>
      <w:r>
        <w:rPr>
          <w:rFonts w:hint="eastAsia" w:ascii="宋体" w:hAnsi="宋体"/>
          <w:b w:val="0"/>
          <w:sz w:val="24"/>
          <w:szCs w:val="24"/>
        </w:rPr>
        <w:t>人（投资人/负责人）</w:t>
      </w:r>
      <w:r>
        <w:rPr>
          <w:rFonts w:ascii="宋体" w:hAnsi="宋体"/>
          <w:b w:val="0"/>
          <w:sz w:val="24"/>
          <w:szCs w:val="24"/>
        </w:rPr>
        <w:t>授权书</w:t>
      </w:r>
    </w:p>
    <w:p>
      <w:pPr>
        <w:pStyle w:val="16"/>
        <w:spacing w:before="120"/>
        <w:rPr>
          <w:rFonts w:ascii="宋体" w:hAnsi="宋体" w:eastAsia="宋体"/>
          <w:b/>
          <w:bCs/>
          <w:color w:val="000000"/>
          <w:kern w:val="2"/>
          <w:sz w:val="36"/>
          <w:szCs w:val="36"/>
        </w:rPr>
      </w:pPr>
    </w:p>
    <w:p>
      <w:pPr>
        <w:pStyle w:val="16"/>
        <w:spacing w:before="120"/>
        <w:rPr>
          <w:rFonts w:ascii="宋体" w:hAnsi="宋体" w:eastAsia="宋体"/>
          <w:b/>
          <w:bCs/>
          <w:color w:val="000000"/>
          <w:kern w:val="2"/>
          <w:sz w:val="36"/>
          <w:szCs w:val="36"/>
        </w:rPr>
      </w:pPr>
      <w:r>
        <w:rPr>
          <w:rFonts w:hint="eastAsia" w:ascii="宋体" w:hAnsi="宋体" w:eastAsia="宋体"/>
          <w:b/>
          <w:bCs/>
          <w:color w:val="000000"/>
          <w:kern w:val="2"/>
          <w:sz w:val="36"/>
          <w:szCs w:val="36"/>
        </w:rPr>
        <w:t>法定代表人（投资人/负责人）授权书</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本授权书声明：注册于</w:t>
      </w:r>
      <w:r>
        <w:rPr>
          <w:rFonts w:hint="eastAsia" w:ascii="宋体" w:hAnsi="宋体"/>
          <w:i/>
          <w:color w:val="000000"/>
          <w:sz w:val="24"/>
          <w:u w:val="single"/>
        </w:rPr>
        <w:t>国家或地区的名称</w:t>
      </w:r>
      <w:r>
        <w:rPr>
          <w:rFonts w:hint="eastAsia" w:ascii="宋体" w:hAnsi="宋体"/>
          <w:color w:val="000000"/>
          <w:sz w:val="24"/>
        </w:rPr>
        <w:t>的</w:t>
      </w:r>
      <w:r>
        <w:rPr>
          <w:rFonts w:hint="eastAsia" w:ascii="宋体" w:hAnsi="宋体"/>
          <w:i/>
          <w:color w:val="000000"/>
          <w:sz w:val="24"/>
          <w:u w:val="single"/>
        </w:rPr>
        <w:t>公司名称</w:t>
      </w:r>
      <w:r>
        <w:rPr>
          <w:rFonts w:hint="eastAsia" w:ascii="宋体" w:hAnsi="宋体"/>
          <w:color w:val="000000"/>
          <w:sz w:val="24"/>
        </w:rPr>
        <w:t>的</w:t>
      </w:r>
      <w:r>
        <w:rPr>
          <w:rFonts w:hint="eastAsia" w:ascii="宋体" w:hAnsi="宋体"/>
          <w:i/>
          <w:color w:val="000000"/>
          <w:sz w:val="24"/>
          <w:u w:val="single"/>
        </w:rPr>
        <w:t xml:space="preserve">法定代表人姓名（投资人/负责人） </w:t>
      </w:r>
      <w:r>
        <w:rPr>
          <w:rFonts w:hint="eastAsia" w:ascii="宋体" w:hAnsi="宋体"/>
          <w:color w:val="000000"/>
          <w:sz w:val="24"/>
        </w:rPr>
        <w:t>代表本公司授权</w:t>
      </w:r>
      <w:r>
        <w:rPr>
          <w:rFonts w:hint="eastAsia" w:ascii="宋体" w:hAnsi="宋体"/>
          <w:i/>
          <w:color w:val="000000"/>
          <w:sz w:val="24"/>
          <w:u w:val="single"/>
        </w:rPr>
        <w:t xml:space="preserve"> 单位名称</w:t>
      </w:r>
      <w:r>
        <w:rPr>
          <w:rFonts w:hint="eastAsia" w:ascii="宋体" w:hAnsi="宋体"/>
          <w:color w:val="000000"/>
          <w:sz w:val="24"/>
        </w:rPr>
        <w:t>的</w:t>
      </w:r>
      <w:r>
        <w:rPr>
          <w:rFonts w:hint="eastAsia" w:ascii="宋体" w:hAnsi="宋体"/>
          <w:i/>
          <w:color w:val="000000"/>
          <w:sz w:val="24"/>
          <w:u w:val="single"/>
        </w:rPr>
        <w:t xml:space="preserve">被授权人的姓名 </w:t>
      </w:r>
      <w:r>
        <w:rPr>
          <w:rFonts w:hint="eastAsia" w:ascii="宋体" w:hAnsi="宋体"/>
          <w:color w:val="000000"/>
          <w:sz w:val="24"/>
        </w:rPr>
        <w:t>为本公司的合法代理人，参加“</w:t>
      </w:r>
      <w:r>
        <w:rPr>
          <w:rFonts w:hint="eastAsia" w:ascii="宋体" w:hAnsi="宋体"/>
          <w:i/>
          <w:color w:val="000000"/>
          <w:sz w:val="24"/>
          <w:u w:val="single"/>
        </w:rPr>
        <w:t>项目名称</w:t>
      </w:r>
      <w:r>
        <w:rPr>
          <w:rFonts w:hint="eastAsia" w:ascii="宋体" w:hAnsi="宋体"/>
          <w:color w:val="000000"/>
          <w:sz w:val="24"/>
        </w:rPr>
        <w:t>”项目的投标及合同签订执行，以本公司名义处理一切与之有关的事务。</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本授权书经法定代表人（投资人/负责人）及代理人签字(或盖章)并加盖单位公章后生效。</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right"/>
        <w:rPr>
          <w:rFonts w:ascii="宋体" w:hAnsi="宋体"/>
          <w:color w:val="000000"/>
          <w:sz w:val="24"/>
        </w:rPr>
      </w:pPr>
      <w:r>
        <w:rPr>
          <w:rFonts w:hint="eastAsia" w:ascii="宋体" w:hAnsi="宋体"/>
          <w:color w:val="000000"/>
          <w:sz w:val="24"/>
        </w:rPr>
        <w:t>法定代表人（投资人/负责人）签字或盖章：________________</w:t>
      </w:r>
    </w:p>
    <w:p>
      <w:pPr>
        <w:spacing w:line="360" w:lineRule="auto"/>
        <w:jc w:val="right"/>
        <w:rPr>
          <w:rFonts w:ascii="宋体" w:hAnsi="宋体"/>
          <w:color w:val="000000"/>
          <w:sz w:val="24"/>
        </w:rPr>
      </w:pPr>
      <w:r>
        <w:rPr>
          <w:rFonts w:hint="eastAsia" w:ascii="宋体" w:hAnsi="宋体"/>
          <w:color w:val="000000"/>
          <w:sz w:val="24"/>
        </w:rPr>
        <w:t>代理人（被授权人）签字：________________</w:t>
      </w:r>
    </w:p>
    <w:p>
      <w:pPr>
        <w:spacing w:line="360" w:lineRule="auto"/>
        <w:jc w:val="right"/>
        <w:rPr>
          <w:rFonts w:ascii="宋体" w:hAnsi="宋体"/>
          <w:color w:val="000000"/>
          <w:sz w:val="24"/>
        </w:rPr>
      </w:pPr>
      <w:r>
        <w:rPr>
          <w:rFonts w:hint="eastAsia" w:ascii="宋体" w:hAnsi="宋体"/>
          <w:color w:val="000000"/>
          <w:sz w:val="24"/>
        </w:rPr>
        <w:t>单位名称（盖章）：________________</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eastAsia="宋体"/>
          <w:b/>
          <w:sz w:val="24"/>
          <w:u w:val="single"/>
        </w:rPr>
      </w:pPr>
      <w:r>
        <w:rPr>
          <w:rFonts w:hint="eastAsia" w:ascii="宋体" w:hAnsi="宋体"/>
          <w:b/>
          <w:color w:val="000000"/>
          <w:sz w:val="24"/>
        </w:rPr>
        <w:t>注：授权书空格项均为必填项；另附上提供法定代表人（投资人/负责人）和被授权人身份证正反面的复印件。</w:t>
      </w:r>
    </w:p>
    <w:p>
      <w:pPr>
        <w:pStyle w:val="9"/>
        <w:jc w:val="both"/>
        <w:rPr>
          <w:rFonts w:asciiTheme="minorEastAsia" w:hAnsiTheme="minorEastAsia"/>
          <w:b w:val="0"/>
          <w:bCs w:val="0"/>
          <w:sz w:val="24"/>
          <w:szCs w:val="24"/>
        </w:rPr>
      </w:pPr>
    </w:p>
    <w:p>
      <w:pPr>
        <w:spacing w:line="360" w:lineRule="auto"/>
        <w:rPr>
          <w:rFonts w:hAnsi="宋体"/>
          <w:b/>
        </w:rPr>
      </w:pPr>
    </w:p>
    <w:p>
      <w:pPr>
        <w:widowControl/>
        <w:jc w:val="left"/>
        <w:rPr>
          <w:rFonts w:hAnsi="宋体"/>
          <w:b/>
        </w:rPr>
      </w:pPr>
      <w:r>
        <w:rPr>
          <w:rFonts w:hAnsi="宋体"/>
          <w:b/>
        </w:rPr>
        <w:br w:type="page"/>
      </w:r>
    </w:p>
    <w:p>
      <w:pPr>
        <w:pStyle w:val="9"/>
        <w:jc w:val="both"/>
        <w:rPr>
          <w:rFonts w:ascii="宋体" w:hAnsi="宋体"/>
          <w:b w:val="0"/>
          <w:bCs w:val="0"/>
          <w:sz w:val="24"/>
          <w:szCs w:val="24"/>
        </w:rPr>
      </w:pPr>
      <w:r>
        <w:rPr>
          <w:rFonts w:hint="eastAsia" w:ascii="宋体" w:hAnsi="宋体"/>
          <w:b w:val="0"/>
          <w:bCs w:val="0"/>
          <w:sz w:val="24"/>
          <w:szCs w:val="24"/>
        </w:rPr>
        <w:t>附件</w:t>
      </w:r>
      <w:r>
        <w:rPr>
          <w:rFonts w:ascii="宋体" w:hAnsi="宋体"/>
          <w:b w:val="0"/>
          <w:bCs w:val="0"/>
          <w:sz w:val="24"/>
          <w:szCs w:val="24"/>
        </w:rPr>
        <w:t>3</w:t>
      </w:r>
      <w:r>
        <w:rPr>
          <w:rFonts w:hint="eastAsia" w:ascii="宋体" w:hAnsi="宋体"/>
          <w:b w:val="0"/>
          <w:bCs w:val="0"/>
          <w:sz w:val="24"/>
          <w:szCs w:val="24"/>
        </w:rPr>
        <w:t>：</w:t>
      </w:r>
      <w:r>
        <w:rPr>
          <w:rFonts w:ascii="宋体" w:hAnsi="宋体"/>
          <w:b w:val="0"/>
          <w:bCs w:val="0"/>
          <w:sz w:val="24"/>
          <w:szCs w:val="24"/>
        </w:rPr>
        <w:t>评</w:t>
      </w:r>
      <w:r>
        <w:rPr>
          <w:rFonts w:hint="eastAsia" w:ascii="宋体" w:hAnsi="宋体"/>
          <w:b w:val="0"/>
          <w:bCs w:val="0"/>
          <w:sz w:val="24"/>
          <w:szCs w:val="24"/>
        </w:rPr>
        <w:t>标</w:t>
      </w:r>
      <w:r>
        <w:rPr>
          <w:rFonts w:ascii="宋体" w:hAnsi="宋体"/>
          <w:b w:val="0"/>
          <w:bCs w:val="0"/>
          <w:sz w:val="24"/>
          <w:szCs w:val="24"/>
        </w:rPr>
        <w:t>标准</w:t>
      </w:r>
    </w:p>
    <w:p>
      <w:pPr>
        <w:spacing w:after="100" w:afterAutospacing="1" w:line="360" w:lineRule="auto"/>
        <w:ind w:left="-720" w:firstLine="720"/>
        <w:jc w:val="center"/>
        <w:rPr>
          <w:rFonts w:ascii="宋体" w:hAnsi="宋体" w:eastAsia="宋体"/>
          <w:b/>
          <w:bCs/>
          <w:sz w:val="32"/>
          <w:szCs w:val="32"/>
        </w:rPr>
      </w:pPr>
      <w:r>
        <w:rPr>
          <w:rFonts w:hint="eastAsia" w:ascii="宋体" w:hAnsi="宋体" w:eastAsia="宋体"/>
          <w:b/>
          <w:bCs/>
          <w:sz w:val="32"/>
          <w:szCs w:val="32"/>
        </w:rPr>
        <w:t>采购评标标准</w:t>
      </w:r>
    </w:p>
    <w:p>
      <w:pPr>
        <w:spacing w:line="360" w:lineRule="auto"/>
        <w:rPr>
          <w:rFonts w:ascii="宋体" w:hAnsi="宋体" w:eastAsia="宋体"/>
          <w:b/>
          <w:sz w:val="28"/>
        </w:rPr>
      </w:pPr>
      <w:r>
        <w:rPr>
          <w:rFonts w:hint="eastAsia" w:ascii="宋体" w:hAnsi="宋体" w:eastAsia="宋体"/>
          <w:b/>
          <w:sz w:val="28"/>
        </w:rPr>
        <w:t>一、评标原则：</w:t>
      </w:r>
    </w:p>
    <w:p>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1</w:t>
      </w:r>
      <w:r>
        <w:rPr>
          <w:rFonts w:hint="eastAsia" w:ascii="宋体" w:hAnsi="宋体" w:eastAsia="宋体" w:cs="Times New Roman"/>
          <w:spacing w:val="10"/>
          <w:sz w:val="24"/>
          <w:szCs w:val="20"/>
        </w:rPr>
        <w:t>.采用“最低评标</w:t>
      </w:r>
      <w:r>
        <w:rPr>
          <w:rFonts w:ascii="宋体" w:hAnsi="宋体" w:eastAsia="宋体" w:cs="Times New Roman"/>
          <w:spacing w:val="10"/>
          <w:sz w:val="24"/>
          <w:szCs w:val="20"/>
        </w:rPr>
        <w:t>价法</w:t>
      </w:r>
      <w:r>
        <w:rPr>
          <w:rFonts w:hint="eastAsia" w:ascii="宋体" w:hAnsi="宋体" w:eastAsia="宋体" w:cs="Times New Roman"/>
          <w:spacing w:val="10"/>
          <w:sz w:val="24"/>
          <w:szCs w:val="20"/>
        </w:rPr>
        <w:t>”进行</w:t>
      </w:r>
      <w:r>
        <w:rPr>
          <w:rFonts w:ascii="宋体" w:hAnsi="宋体" w:eastAsia="宋体" w:cs="Times New Roman"/>
          <w:spacing w:val="10"/>
          <w:sz w:val="24"/>
          <w:szCs w:val="20"/>
        </w:rPr>
        <w:t>评标</w:t>
      </w:r>
      <w:r>
        <w:rPr>
          <w:rFonts w:hint="eastAsia" w:ascii="宋体" w:hAnsi="宋体" w:eastAsia="宋体" w:cs="Times New Roman"/>
          <w:spacing w:val="10"/>
          <w:sz w:val="24"/>
          <w:szCs w:val="20"/>
        </w:rPr>
        <w:t>。</w:t>
      </w:r>
    </w:p>
    <w:p>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2.对所有投标人的投标评估，评委都采用相同的程序和标准。</w:t>
      </w:r>
    </w:p>
    <w:p>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3.有效</w:t>
      </w:r>
      <w:r>
        <w:rPr>
          <w:rFonts w:hint="eastAsia" w:ascii="宋体" w:hAnsi="宋体" w:eastAsia="宋体" w:cs="Times New Roman"/>
          <w:spacing w:val="10"/>
          <w:sz w:val="24"/>
          <w:szCs w:val="20"/>
        </w:rPr>
        <w:t>投标</w:t>
      </w:r>
      <w:r>
        <w:rPr>
          <w:rFonts w:ascii="宋体" w:hAnsi="宋体" w:eastAsia="宋体" w:cs="Times New Roman"/>
          <w:spacing w:val="10"/>
          <w:sz w:val="24"/>
          <w:szCs w:val="20"/>
        </w:rPr>
        <w:t>不足3家，</w:t>
      </w:r>
      <w:r>
        <w:rPr>
          <w:rFonts w:hint="eastAsia" w:ascii="宋体" w:hAnsi="宋体" w:eastAsia="宋体" w:cs="Times New Roman"/>
          <w:spacing w:val="10"/>
          <w:sz w:val="24"/>
          <w:szCs w:val="20"/>
        </w:rPr>
        <w:t>按流标处理。</w:t>
      </w:r>
    </w:p>
    <w:p>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4.对采购书的理解出现争议时，其最终解释权在招标人。</w:t>
      </w:r>
    </w:p>
    <w:p>
      <w:pPr>
        <w:spacing w:line="360" w:lineRule="auto"/>
        <w:rPr>
          <w:rFonts w:ascii="宋体" w:hAnsi="宋体" w:eastAsia="宋体"/>
          <w:b/>
          <w:sz w:val="28"/>
        </w:rPr>
      </w:pPr>
      <w:r>
        <w:rPr>
          <w:rFonts w:hint="eastAsia" w:ascii="宋体" w:hAnsi="宋体" w:eastAsia="宋体"/>
          <w:b/>
          <w:sz w:val="28"/>
        </w:rPr>
        <w:t>二、符合性检查：</w:t>
      </w:r>
    </w:p>
    <w:p>
      <w:pPr>
        <w:spacing w:line="300" w:lineRule="auto"/>
        <w:rPr>
          <w:rFonts w:ascii="宋体" w:hAnsi="宋体" w:eastAsia="宋体"/>
          <w:sz w:val="24"/>
          <w:szCs w:val="24"/>
        </w:rPr>
      </w:pPr>
      <w:r>
        <w:rPr>
          <w:rFonts w:hint="eastAsia" w:ascii="宋体" w:hAnsi="宋体" w:eastAsia="宋体"/>
          <w:sz w:val="24"/>
          <w:szCs w:val="24"/>
          <w:lang w:val="zh-CN"/>
        </w:rPr>
        <w:t>凡出现下列情况之一者，予以废标：</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sz w:val="24"/>
        </w:rPr>
        <w:t>投标书不符合本采购书规定的要求；</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sz w:val="24"/>
        </w:rPr>
        <w:t>投标人未提交投标保证金或金额不足；</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投标材料未</w:t>
      </w:r>
      <w:r>
        <w:rPr>
          <w:rFonts w:ascii="宋体" w:hAnsi="宋体" w:eastAsia="宋体"/>
          <w:sz w:val="24"/>
          <w:szCs w:val="24"/>
        </w:rPr>
        <w:t>按照招标要求</w:t>
      </w:r>
      <w:r>
        <w:rPr>
          <w:rFonts w:hint="eastAsia" w:ascii="宋体" w:hAnsi="宋体" w:eastAsia="宋体"/>
          <w:sz w:val="24"/>
          <w:szCs w:val="24"/>
        </w:rPr>
        <w:t>加盖公章；</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代理人无法定代表人出具的授权委托书；或法定代表人（法定代表授权的代理人</w:t>
      </w:r>
      <w:r>
        <w:rPr>
          <w:rFonts w:ascii="宋体" w:hAnsi="宋体" w:eastAsia="宋体"/>
          <w:sz w:val="24"/>
          <w:szCs w:val="24"/>
        </w:rPr>
        <w:t>）</w:t>
      </w:r>
      <w:r>
        <w:rPr>
          <w:rFonts w:hint="eastAsia" w:ascii="宋体" w:hAnsi="宋体" w:eastAsia="宋体"/>
          <w:sz w:val="24"/>
          <w:szCs w:val="24"/>
        </w:rPr>
        <w:t>未签字；或没有出具法定代表人和代理人身份证复印件者；</w:t>
      </w:r>
    </w:p>
    <w:p>
      <w:pPr>
        <w:numPr>
          <w:ilvl w:val="6"/>
          <w:numId w:val="6"/>
        </w:numPr>
        <w:tabs>
          <w:tab w:val="left" w:pos="360"/>
        </w:tabs>
        <w:spacing w:line="300" w:lineRule="auto"/>
        <w:ind w:left="360" w:hanging="360"/>
        <w:rPr>
          <w:rFonts w:ascii="宋体" w:hAnsi="宋体" w:eastAsia="宋体"/>
          <w:sz w:val="24"/>
          <w:szCs w:val="24"/>
        </w:rPr>
      </w:pPr>
      <w:r>
        <w:rPr>
          <w:rFonts w:ascii="宋体" w:hAnsi="宋体" w:eastAsia="宋体"/>
          <w:sz w:val="24"/>
          <w:szCs w:val="24"/>
        </w:rPr>
        <w:t>投标价格</w:t>
      </w:r>
      <w:r>
        <w:rPr>
          <w:rFonts w:hint="eastAsia" w:ascii="宋体" w:hAnsi="宋体" w:eastAsia="宋体"/>
          <w:sz w:val="24"/>
          <w:szCs w:val="24"/>
        </w:rPr>
        <w:t>大于等于30</w:t>
      </w:r>
      <w:r>
        <w:rPr>
          <w:rFonts w:ascii="宋体" w:hAnsi="宋体" w:eastAsia="宋体"/>
          <w:sz w:val="24"/>
          <w:szCs w:val="24"/>
        </w:rPr>
        <w:t>万的</w:t>
      </w:r>
      <w:r>
        <w:rPr>
          <w:rFonts w:hint="eastAsia" w:ascii="宋体" w:hAnsi="宋体" w:eastAsia="宋体"/>
          <w:sz w:val="24"/>
          <w:szCs w:val="24"/>
        </w:rPr>
        <w:t>；</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sz w:val="24"/>
        </w:rPr>
        <w:t>投标文件未能满足本采购书“商务要求”及</w:t>
      </w:r>
      <w:r>
        <w:rPr>
          <w:rFonts w:ascii="宋体" w:hAnsi="宋体"/>
          <w:sz w:val="24"/>
        </w:rPr>
        <w:t>所附</w:t>
      </w:r>
      <w:r>
        <w:rPr>
          <w:rFonts w:hint="eastAsia" w:ascii="宋体" w:hAnsi="宋体"/>
          <w:sz w:val="24"/>
        </w:rPr>
        <w:t>“项目技术需求</w:t>
      </w:r>
      <w:r>
        <w:rPr>
          <w:rFonts w:ascii="宋体" w:hAnsi="宋体"/>
          <w:sz w:val="24"/>
        </w:rPr>
        <w:t>”</w:t>
      </w:r>
      <w:r>
        <w:rPr>
          <w:rFonts w:hint="eastAsia" w:ascii="宋体" w:hAnsi="宋体"/>
          <w:sz w:val="24"/>
        </w:rPr>
        <w:t>要求全部条款者；</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递交两份或多份内容不同的投标文件，或在一份投标文件中对同一招标内容报有两个或多个报价，且未声明哪一个为最终报价的（按采购书规定提交备选投标方案的除外）；</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附加条件的报价（除采购书中有规定外）；</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投标人虚假投标，提供的投标文件与事实不符；或在澄清过程中虚假澄清，提供的澄清文件与事实不符；</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开标后，投标人提出降价或进行抬价或利用澄清机会实质性变更投标价的；</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不同投标人</w:t>
      </w:r>
      <w:r>
        <w:rPr>
          <w:rFonts w:ascii="宋体" w:hAnsi="宋体" w:eastAsia="宋体"/>
          <w:sz w:val="24"/>
          <w:szCs w:val="24"/>
        </w:rPr>
        <w:t>投标文件有雷同现象的</w:t>
      </w:r>
      <w:r>
        <w:rPr>
          <w:rFonts w:ascii="宋体" w:hAnsi="宋体"/>
          <w:sz w:val="24"/>
        </w:rPr>
        <w:t>或者不同</w:t>
      </w:r>
      <w:r>
        <w:rPr>
          <w:rFonts w:hint="eastAsia" w:ascii="宋体" w:hAnsi="宋体"/>
          <w:sz w:val="24"/>
        </w:rPr>
        <w:t>投标人</w:t>
      </w:r>
      <w:r>
        <w:rPr>
          <w:rFonts w:ascii="宋体" w:hAnsi="宋体"/>
          <w:sz w:val="24"/>
        </w:rPr>
        <w:t>的投标保证金来自同一机构的</w:t>
      </w:r>
      <w:r>
        <w:rPr>
          <w:rFonts w:hint="eastAsia" w:ascii="宋体" w:hAnsi="宋体"/>
          <w:sz w:val="24"/>
        </w:rPr>
        <w:t>（以上</w:t>
      </w:r>
      <w:r>
        <w:rPr>
          <w:rFonts w:ascii="宋体" w:hAnsi="宋体"/>
          <w:sz w:val="24"/>
        </w:rPr>
        <w:t>情况</w:t>
      </w:r>
      <w:r>
        <w:rPr>
          <w:rFonts w:hint="eastAsia" w:ascii="宋体" w:hAnsi="宋体"/>
          <w:sz w:val="24"/>
        </w:rPr>
        <w:t>均为</w:t>
      </w:r>
      <w:r>
        <w:rPr>
          <w:rFonts w:ascii="宋体" w:hAnsi="宋体"/>
          <w:sz w:val="24"/>
        </w:rPr>
        <w:t>废标）</w:t>
      </w:r>
      <w:r>
        <w:rPr>
          <w:rFonts w:hint="eastAsia" w:ascii="宋体" w:hAnsi="宋体" w:eastAsia="宋体"/>
          <w:sz w:val="24"/>
          <w:szCs w:val="24"/>
        </w:rPr>
        <w:t>；</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投标人存在</w:t>
      </w:r>
      <w:r>
        <w:rPr>
          <w:rFonts w:ascii="宋体" w:hAnsi="宋体" w:eastAsia="宋体"/>
          <w:sz w:val="24"/>
          <w:szCs w:val="24"/>
        </w:rPr>
        <w:t>舞弊或串标行为的</w:t>
      </w:r>
      <w:r>
        <w:rPr>
          <w:rFonts w:hint="eastAsia" w:ascii="宋体" w:hAnsi="宋体" w:eastAsia="宋体"/>
          <w:sz w:val="24"/>
          <w:szCs w:val="24"/>
        </w:rPr>
        <w:t>；</w:t>
      </w:r>
    </w:p>
    <w:p>
      <w:pPr>
        <w:numPr>
          <w:ilvl w:val="6"/>
          <w:numId w:val="6"/>
        </w:numPr>
        <w:tabs>
          <w:tab w:val="left" w:pos="360"/>
        </w:tabs>
        <w:spacing w:line="300" w:lineRule="auto"/>
        <w:ind w:left="360" w:hanging="360"/>
        <w:rPr>
          <w:rFonts w:ascii="宋体" w:hAnsi="宋体" w:eastAsia="宋体"/>
          <w:sz w:val="24"/>
          <w:szCs w:val="24"/>
        </w:rPr>
      </w:pPr>
      <w:r>
        <w:rPr>
          <w:rFonts w:hint="eastAsia" w:ascii="宋体" w:hAnsi="宋体" w:eastAsia="宋体"/>
          <w:sz w:val="24"/>
          <w:szCs w:val="24"/>
        </w:rPr>
        <w:t>有其他违法违规情形的</w:t>
      </w:r>
      <w:r>
        <w:rPr>
          <w:rFonts w:hint="eastAsia" w:ascii="宋体" w:hAnsi="宋体"/>
          <w:sz w:val="24"/>
          <w:szCs w:val="24"/>
        </w:rPr>
        <w:t>或符合</w:t>
      </w:r>
      <w:r>
        <w:rPr>
          <w:rFonts w:ascii="宋体" w:hAnsi="宋体"/>
          <w:sz w:val="24"/>
          <w:szCs w:val="24"/>
        </w:rPr>
        <w:t>采购书</w:t>
      </w:r>
      <w:r>
        <w:rPr>
          <w:rFonts w:hint="eastAsia" w:ascii="宋体" w:hAnsi="宋体"/>
          <w:sz w:val="24"/>
          <w:szCs w:val="24"/>
        </w:rPr>
        <w:t>规定</w:t>
      </w:r>
      <w:r>
        <w:rPr>
          <w:rFonts w:ascii="宋体" w:hAnsi="宋体"/>
          <w:sz w:val="24"/>
          <w:szCs w:val="24"/>
        </w:rPr>
        <w:t>的其他废标条件的</w:t>
      </w:r>
      <w:r>
        <w:rPr>
          <w:rFonts w:hint="eastAsia" w:ascii="宋体" w:hAnsi="宋体" w:eastAsia="宋体"/>
          <w:sz w:val="24"/>
          <w:szCs w:val="24"/>
        </w:rPr>
        <w:t>。</w:t>
      </w:r>
    </w:p>
    <w:p>
      <w:pPr>
        <w:widowControl/>
        <w:jc w:val="left"/>
        <w:rPr>
          <w:rFonts w:ascii="宋体" w:hAnsi="宋体" w:eastAsia="宋体"/>
          <w:sz w:val="24"/>
          <w:szCs w:val="24"/>
        </w:rPr>
      </w:pPr>
      <w:r>
        <w:rPr>
          <w:rFonts w:ascii="宋体" w:hAnsi="宋体" w:eastAsia="宋体"/>
          <w:sz w:val="24"/>
          <w:szCs w:val="24"/>
        </w:rPr>
        <w:br w:type="page"/>
      </w:r>
    </w:p>
    <w:p>
      <w:pPr>
        <w:tabs>
          <w:tab w:val="left" w:pos="360"/>
        </w:tabs>
        <w:spacing w:line="300" w:lineRule="auto"/>
        <w:rPr>
          <w:rFonts w:ascii="宋体" w:hAnsi="宋体" w:eastAsia="宋体"/>
          <w:sz w:val="24"/>
          <w:szCs w:val="24"/>
        </w:rPr>
      </w:pPr>
      <w:r>
        <w:rPr>
          <w:rFonts w:hint="eastAsia" w:ascii="宋体" w:hAnsi="宋体" w:eastAsia="宋体"/>
          <w:sz w:val="24"/>
          <w:szCs w:val="24"/>
        </w:rPr>
        <w:t>附件4：</w:t>
      </w:r>
      <w:r>
        <w:rPr>
          <w:rFonts w:ascii="宋体" w:hAnsi="宋体" w:eastAsia="宋体"/>
          <w:sz w:val="24"/>
          <w:szCs w:val="24"/>
        </w:rPr>
        <w:t>合同模板</w:t>
      </w:r>
    </w:p>
    <w:p>
      <w:pPr>
        <w:tabs>
          <w:tab w:val="left" w:pos="360"/>
        </w:tabs>
        <w:spacing w:line="300" w:lineRule="auto"/>
        <w:rPr>
          <w:rFonts w:ascii="宋体" w:hAnsi="宋体" w:eastAsia="宋体"/>
          <w:sz w:val="24"/>
          <w:szCs w:val="24"/>
        </w:rPr>
      </w:pPr>
    </w:p>
    <w:p>
      <w:pPr>
        <w:spacing w:line="460" w:lineRule="exact"/>
        <w:rPr>
          <w:rFonts w:ascii="宋体" w:hAnsi="宋体" w:eastAsia="宋体" w:cs="宋体"/>
          <w:b/>
          <w:bCs/>
          <w:szCs w:val="21"/>
        </w:rPr>
      </w:pPr>
      <w:r>
        <w:rPr>
          <w:rFonts w:hint="eastAsia" w:ascii="宋体" w:hAnsi="宋体" w:eastAsia="宋体" w:cs="宋体"/>
          <w:b/>
          <w:bCs/>
          <w:szCs w:val="21"/>
        </w:rPr>
        <w:t>甲方：上海黄金交易所</w:t>
      </w:r>
    </w:p>
    <w:p>
      <w:pPr>
        <w:spacing w:line="460" w:lineRule="exact"/>
        <w:rPr>
          <w:rFonts w:ascii="宋体" w:hAnsi="宋体" w:eastAsia="宋体" w:cs="宋体"/>
          <w:szCs w:val="21"/>
        </w:rPr>
      </w:pPr>
      <w:r>
        <w:rPr>
          <w:rFonts w:hint="eastAsia" w:ascii="宋体" w:hAnsi="宋体" w:eastAsia="宋体" w:cs="宋体"/>
          <w:szCs w:val="21"/>
        </w:rPr>
        <w:t>地址：上海市黄浦区中山南路699号</w:t>
      </w:r>
    </w:p>
    <w:p>
      <w:pPr>
        <w:tabs>
          <w:tab w:val="left" w:pos="4140"/>
        </w:tabs>
        <w:spacing w:line="460" w:lineRule="exact"/>
        <w:rPr>
          <w:rFonts w:ascii="宋体" w:hAnsi="宋体" w:eastAsia="宋体" w:cs="宋体"/>
          <w:szCs w:val="21"/>
        </w:rPr>
      </w:pPr>
      <w:r>
        <w:rPr>
          <w:rFonts w:hint="eastAsia" w:ascii="宋体" w:hAnsi="宋体" w:eastAsia="宋体" w:cs="宋体"/>
          <w:szCs w:val="21"/>
        </w:rPr>
        <w:t>电话：8621-33189588</w:t>
      </w:r>
    </w:p>
    <w:p>
      <w:pPr>
        <w:tabs>
          <w:tab w:val="left" w:pos="4140"/>
        </w:tabs>
        <w:spacing w:line="460" w:lineRule="exact"/>
        <w:rPr>
          <w:rFonts w:ascii="宋体" w:hAnsi="宋体" w:eastAsia="宋体" w:cs="宋体"/>
          <w:szCs w:val="21"/>
        </w:rPr>
      </w:pPr>
      <w:r>
        <w:rPr>
          <w:rFonts w:hint="eastAsia" w:ascii="宋体" w:hAnsi="宋体" w:eastAsia="宋体" w:cs="宋体"/>
          <w:szCs w:val="21"/>
        </w:rPr>
        <w:t>传真：8621-33662058</w:t>
      </w:r>
    </w:p>
    <w:p>
      <w:pPr>
        <w:rPr>
          <w:rFonts w:ascii="宋体" w:hAnsi="宋体" w:eastAsia="宋体" w:cs="宋体"/>
          <w:b/>
          <w:bCs/>
          <w:color w:val="000000"/>
          <w:szCs w:val="21"/>
        </w:rPr>
      </w:pPr>
      <w:r>
        <w:rPr>
          <w:rFonts w:hint="eastAsia" w:ascii="宋体" w:hAnsi="宋体" w:eastAsia="宋体" w:cs="宋体"/>
          <w:b/>
          <w:bCs/>
          <w:color w:val="000000"/>
          <w:szCs w:val="21"/>
        </w:rPr>
        <w:t xml:space="preserve">               </w:t>
      </w:r>
    </w:p>
    <w:p>
      <w:pPr>
        <w:spacing w:line="460" w:lineRule="exact"/>
        <w:rPr>
          <w:rFonts w:ascii="宋体" w:hAnsi="宋体" w:eastAsia="宋体" w:cs="宋体"/>
          <w:b/>
          <w:bCs/>
          <w:szCs w:val="21"/>
        </w:rPr>
      </w:pPr>
      <w:r>
        <w:rPr>
          <w:rFonts w:hint="eastAsia" w:ascii="宋体" w:hAnsi="宋体" w:eastAsia="宋体" w:cs="宋体"/>
          <w:b/>
          <w:bCs/>
          <w:szCs w:val="21"/>
        </w:rPr>
        <w:t xml:space="preserve">乙方： </w:t>
      </w:r>
    </w:p>
    <w:p>
      <w:pPr>
        <w:spacing w:line="460" w:lineRule="exact"/>
        <w:rPr>
          <w:rFonts w:ascii="宋体" w:hAnsi="宋体" w:eastAsia="宋体" w:cs="宋体"/>
          <w:szCs w:val="21"/>
        </w:rPr>
      </w:pPr>
      <w:r>
        <w:rPr>
          <w:rFonts w:hint="eastAsia" w:ascii="宋体" w:hAnsi="宋体" w:eastAsia="宋体" w:cs="宋体"/>
          <w:szCs w:val="21"/>
        </w:rPr>
        <w:t xml:space="preserve">地址： </w:t>
      </w:r>
    </w:p>
    <w:p>
      <w:pPr>
        <w:spacing w:line="460" w:lineRule="exact"/>
        <w:rPr>
          <w:rFonts w:ascii="宋体" w:hAnsi="宋体" w:eastAsia="宋体" w:cs="宋体"/>
          <w:szCs w:val="21"/>
        </w:rPr>
      </w:pPr>
      <w:r>
        <w:rPr>
          <w:rFonts w:hint="eastAsia" w:ascii="宋体" w:hAnsi="宋体" w:eastAsia="宋体" w:cs="宋体"/>
          <w:szCs w:val="21"/>
        </w:rPr>
        <w:t>电话：</w:t>
      </w:r>
    </w:p>
    <w:p>
      <w:pPr>
        <w:spacing w:line="460" w:lineRule="exact"/>
        <w:rPr>
          <w:rFonts w:ascii="宋体" w:hAnsi="宋体" w:eastAsia="宋体" w:cs="宋体"/>
          <w:szCs w:val="21"/>
        </w:rPr>
      </w:pPr>
      <w:r>
        <w:rPr>
          <w:rFonts w:hint="eastAsia" w:ascii="宋体" w:hAnsi="宋体" w:eastAsia="宋体" w:cs="宋体"/>
          <w:szCs w:val="21"/>
        </w:rPr>
        <w:t>传真：</w:t>
      </w:r>
    </w:p>
    <w:p>
      <w:pPr>
        <w:spacing w:line="460" w:lineRule="exact"/>
        <w:rPr>
          <w:rFonts w:ascii="宋体" w:hAnsi="宋体" w:eastAsia="宋体" w:cs="宋体"/>
          <w:b/>
          <w:bCs/>
          <w:szCs w:val="21"/>
        </w:rPr>
      </w:pPr>
    </w:p>
    <w:p>
      <w:pPr>
        <w:numPr>
          <w:ilvl w:val="0"/>
          <w:numId w:val="7"/>
        </w:numPr>
        <w:tabs>
          <w:tab w:val="left" w:pos="0"/>
          <w:tab w:val="left" w:pos="540"/>
        </w:tabs>
        <w:spacing w:line="460" w:lineRule="exact"/>
        <w:ind w:left="0" w:firstLine="0"/>
        <w:rPr>
          <w:rFonts w:ascii="宋体" w:hAnsi="宋体" w:eastAsia="宋体" w:cs="宋体"/>
          <w:b/>
          <w:bCs/>
          <w:szCs w:val="21"/>
        </w:rPr>
      </w:pPr>
      <w:r>
        <w:rPr>
          <w:rFonts w:hint="eastAsia" w:ascii="宋体" w:hAnsi="宋体" w:eastAsia="宋体" w:cs="宋体"/>
          <w:b/>
          <w:bCs/>
          <w:szCs w:val="21"/>
        </w:rPr>
        <w:t>为保护本合同各方的合法权益，根据《中华人民共和国民法典》等国家法律法规及规范性文件的规定，并严格遵循招标文件的相关要求，甲方和乙方订立本合同，以兹信守。</w:t>
      </w:r>
    </w:p>
    <w:p>
      <w:pPr>
        <w:numPr>
          <w:ilvl w:val="0"/>
          <w:numId w:val="8"/>
        </w:numPr>
        <w:tabs>
          <w:tab w:val="left" w:pos="540"/>
        </w:tabs>
        <w:spacing w:before="100" w:beforeAutospacing="1" w:after="100" w:afterAutospacing="1" w:line="460" w:lineRule="exact"/>
        <w:rPr>
          <w:rFonts w:ascii="宋体" w:hAnsi="宋体" w:eastAsia="宋体" w:cs="宋体"/>
          <w:b/>
          <w:bCs/>
          <w:szCs w:val="21"/>
        </w:rPr>
      </w:pPr>
      <w:r>
        <w:rPr>
          <w:rFonts w:hint="eastAsia" w:ascii="宋体" w:hAnsi="宋体" w:eastAsia="宋体" w:cs="宋体"/>
          <w:b/>
          <w:bCs/>
          <w:szCs w:val="21"/>
        </w:rPr>
        <w:t>合同总金额与明细</w:t>
      </w:r>
    </w:p>
    <w:p>
      <w:pPr>
        <w:numPr>
          <w:ilvl w:val="1"/>
          <w:numId w:val="9"/>
        </w:numPr>
        <w:tabs>
          <w:tab w:val="left" w:pos="540"/>
        </w:tabs>
        <w:spacing w:line="460" w:lineRule="exact"/>
        <w:rPr>
          <w:rFonts w:ascii="宋体" w:hAnsi="宋体" w:eastAsia="宋体" w:cs="宋体"/>
          <w:szCs w:val="21"/>
        </w:rPr>
      </w:pPr>
      <w:r>
        <w:rPr>
          <w:rFonts w:hint="eastAsia" w:ascii="宋体" w:hAnsi="宋体" w:eastAsia="宋体" w:cs="宋体"/>
          <w:szCs w:val="21"/>
        </w:rPr>
        <w:t xml:space="preserve">合同总金额（含税）： </w:t>
      </w:r>
      <w:r>
        <w:rPr>
          <w:rFonts w:hint="eastAsia" w:ascii="宋体" w:hAnsi="宋体" w:eastAsia="宋体" w:cs="宋体"/>
          <w:b/>
          <w:bCs/>
          <w:szCs w:val="21"/>
          <w:u w:val="single"/>
        </w:rPr>
        <w:t>¥           元（大写：        ）</w:t>
      </w:r>
      <w:r>
        <w:rPr>
          <w:rFonts w:hint="eastAsia" w:ascii="宋体" w:hAnsi="宋体" w:eastAsia="宋体" w:cs="宋体"/>
          <w:szCs w:val="21"/>
        </w:rPr>
        <w:t xml:space="preserve"> </w:t>
      </w:r>
    </w:p>
    <w:p>
      <w:pPr>
        <w:numPr>
          <w:ilvl w:val="1"/>
          <w:numId w:val="9"/>
        </w:numPr>
        <w:tabs>
          <w:tab w:val="left" w:pos="540"/>
        </w:tabs>
        <w:spacing w:line="460" w:lineRule="exact"/>
        <w:rPr>
          <w:rFonts w:ascii="宋体" w:hAnsi="宋体" w:eastAsia="宋体" w:cs="宋体"/>
          <w:szCs w:val="21"/>
        </w:rPr>
      </w:pPr>
      <w:r>
        <w:rPr>
          <w:rFonts w:hint="eastAsia" w:ascii="宋体" w:hAnsi="宋体" w:eastAsia="宋体" w:cs="宋体"/>
          <w:szCs w:val="21"/>
        </w:rPr>
        <w:t>服务清单（见附件一）</w:t>
      </w:r>
    </w:p>
    <w:p>
      <w:pPr>
        <w:numPr>
          <w:ilvl w:val="1"/>
          <w:numId w:val="9"/>
        </w:numPr>
        <w:tabs>
          <w:tab w:val="left" w:pos="540"/>
        </w:tabs>
        <w:spacing w:line="460" w:lineRule="exact"/>
        <w:rPr>
          <w:rFonts w:ascii="宋体" w:hAnsi="宋体" w:eastAsia="宋体" w:cs="宋体"/>
          <w:szCs w:val="21"/>
        </w:rPr>
      </w:pPr>
      <w:r>
        <w:rPr>
          <w:rFonts w:hint="eastAsia" w:ascii="宋体" w:hAnsi="宋体" w:eastAsia="宋体" w:cs="宋体"/>
          <w:szCs w:val="21"/>
        </w:rPr>
        <w:t>服务内容（见附件二）</w:t>
      </w:r>
    </w:p>
    <w:p>
      <w:pPr>
        <w:tabs>
          <w:tab w:val="left" w:pos="3510"/>
        </w:tabs>
        <w:spacing w:before="100" w:beforeAutospacing="1" w:after="100" w:afterAutospacing="1" w:line="460" w:lineRule="exact"/>
        <w:ind w:left="720" w:hanging="720"/>
        <w:outlineLvl w:val="0"/>
        <w:rPr>
          <w:rFonts w:ascii="宋体" w:hAnsi="宋体" w:eastAsia="宋体" w:cs="宋体"/>
          <w:b/>
          <w:bCs/>
          <w:szCs w:val="21"/>
        </w:rPr>
      </w:pPr>
      <w:r>
        <w:rPr>
          <w:rFonts w:hint="eastAsia" w:ascii="宋体" w:hAnsi="宋体" w:eastAsia="宋体" w:cs="宋体"/>
          <w:b/>
          <w:bCs/>
          <w:szCs w:val="21"/>
        </w:rPr>
        <w:t>三、付款方式</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1、甲方按照以下付款方式在收到乙方每一笔款项的合法增值税专用发票后</w:t>
      </w:r>
      <w:r>
        <w:rPr>
          <w:rFonts w:hint="eastAsia" w:ascii="宋体" w:hAnsi="宋体" w:eastAsia="宋体" w:cs="宋体"/>
          <w:szCs w:val="21"/>
          <w:u w:val="single"/>
        </w:rPr>
        <w:t xml:space="preserve"> 20 </w:t>
      </w:r>
      <w:r>
        <w:rPr>
          <w:rFonts w:hint="eastAsia" w:ascii="宋体" w:hAnsi="宋体" w:eastAsia="宋体" w:cs="宋体"/>
          <w:szCs w:val="21"/>
        </w:rPr>
        <w:t>个工作日内向乙方</w:t>
      </w:r>
      <w:r>
        <w:rPr>
          <w:rFonts w:hint="eastAsia" w:ascii="宋体" w:hAnsi="宋体" w:eastAsia="宋体" w:cs="宋体"/>
          <w:szCs w:val="21"/>
          <w:u w:val="single"/>
        </w:rPr>
        <w:t xml:space="preserve"> 转账 </w:t>
      </w:r>
      <w:r>
        <w:rPr>
          <w:rFonts w:hint="eastAsia" w:ascii="宋体" w:hAnsi="宋体" w:eastAsia="宋体" w:cs="宋体"/>
          <w:szCs w:val="21"/>
        </w:rPr>
        <w:t>支付相应金额款项。</w:t>
      </w:r>
    </w:p>
    <w:p>
      <w:pPr>
        <w:tabs>
          <w:tab w:val="left" w:pos="540"/>
        </w:tabs>
        <w:spacing w:line="460" w:lineRule="exact"/>
        <w:ind w:left="420" w:leftChars="200"/>
        <w:rPr>
          <w:rFonts w:ascii="宋体" w:hAnsi="宋体" w:eastAsia="宋体" w:cs="宋体"/>
          <w:szCs w:val="21"/>
        </w:rPr>
      </w:pPr>
      <w:r>
        <w:rPr>
          <w:rFonts w:hint="eastAsia" w:ascii="宋体" w:hAnsi="宋体" w:eastAsia="宋体" w:cs="宋体"/>
          <w:szCs w:val="21"/>
        </w:rPr>
        <w:t>2、付款方式：</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合同签订后，乙方提供原厂下单证明，甲方验收通过后，支付合同总金额的100%。</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甲方账户信息：</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单位名称：上海黄金交易所</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开户银行：工行浦东分行</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账号：1001280909000000163</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税号：91310000736228569K</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乙方收款信息：</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 xml:space="preserve">单位名称： </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 xml:space="preserve">开户银行： </w:t>
      </w:r>
    </w:p>
    <w:p>
      <w:pPr>
        <w:tabs>
          <w:tab w:val="left" w:pos="540"/>
        </w:tabs>
        <w:spacing w:line="460" w:lineRule="exact"/>
        <w:ind w:firstLine="420" w:firstLineChars="200"/>
        <w:rPr>
          <w:rFonts w:ascii="宋体" w:hAnsi="宋体" w:eastAsia="宋体" w:cs="宋体"/>
          <w:szCs w:val="21"/>
        </w:rPr>
      </w:pPr>
      <w:r>
        <w:rPr>
          <w:rFonts w:hint="eastAsia" w:ascii="宋体" w:hAnsi="宋体" w:eastAsia="宋体" w:cs="宋体"/>
          <w:szCs w:val="21"/>
        </w:rPr>
        <w:t>开户账号：</w:t>
      </w:r>
    </w:p>
    <w:p>
      <w:pPr>
        <w:spacing w:line="440" w:lineRule="exact"/>
        <w:ind w:firstLine="420" w:firstLineChars="200"/>
        <w:rPr>
          <w:rFonts w:ascii="宋体" w:hAnsi="宋体" w:eastAsia="宋体" w:cs="宋体"/>
          <w:szCs w:val="21"/>
        </w:rPr>
      </w:pPr>
      <w:r>
        <w:rPr>
          <w:rFonts w:hint="eastAsia" w:ascii="宋体" w:hAnsi="宋体" w:eastAsia="宋体" w:cs="宋体"/>
          <w:szCs w:val="21"/>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变更账户信息，导致甲方不能按照本合同约定付款或付款未成功的，甲方将不承担任何责任。</w:t>
      </w:r>
    </w:p>
    <w:p>
      <w:pPr>
        <w:tabs>
          <w:tab w:val="left" w:pos="3510"/>
        </w:tabs>
        <w:spacing w:before="100" w:beforeAutospacing="1" w:after="100" w:afterAutospacing="1" w:line="460" w:lineRule="exact"/>
        <w:outlineLvl w:val="0"/>
        <w:rPr>
          <w:rFonts w:ascii="宋体" w:hAnsi="宋体" w:eastAsia="宋体" w:cs="宋体"/>
          <w:b/>
          <w:bCs/>
          <w:szCs w:val="21"/>
        </w:rPr>
      </w:pPr>
      <w:r>
        <w:rPr>
          <w:rFonts w:hint="eastAsia" w:ascii="宋体" w:hAnsi="宋体" w:eastAsia="宋体" w:cs="宋体"/>
          <w:b/>
          <w:bCs/>
          <w:szCs w:val="21"/>
        </w:rPr>
        <w:t>四、双方的义务：</w:t>
      </w:r>
    </w:p>
    <w:p>
      <w:pPr>
        <w:tabs>
          <w:tab w:val="left" w:pos="3510"/>
        </w:tabs>
        <w:spacing w:before="100" w:beforeAutospacing="1" w:after="100" w:afterAutospacing="1" w:line="460" w:lineRule="exact"/>
        <w:ind w:left="720" w:hanging="720"/>
        <w:outlineLvl w:val="0"/>
        <w:rPr>
          <w:rFonts w:ascii="宋体" w:hAnsi="宋体" w:eastAsia="宋体" w:cs="宋体"/>
          <w:szCs w:val="21"/>
        </w:rPr>
      </w:pPr>
      <w:r>
        <w:rPr>
          <w:rFonts w:hint="eastAsia" w:ascii="宋体" w:hAnsi="宋体" w:eastAsia="宋体" w:cs="宋体"/>
          <w:szCs w:val="21"/>
        </w:rPr>
        <w:t>甲方的义务：</w:t>
      </w:r>
    </w:p>
    <w:p>
      <w:pPr>
        <w:numPr>
          <w:ilvl w:val="0"/>
          <w:numId w:val="10"/>
        </w:numPr>
        <w:tabs>
          <w:tab w:val="left" w:pos="3510"/>
        </w:tabs>
        <w:spacing w:before="100" w:beforeAutospacing="1" w:after="100" w:afterAutospacing="1" w:line="460" w:lineRule="exact"/>
        <w:jc w:val="left"/>
        <w:outlineLvl w:val="0"/>
        <w:rPr>
          <w:rFonts w:ascii="宋体" w:hAnsi="宋体" w:eastAsia="宋体" w:cs="宋体"/>
          <w:szCs w:val="21"/>
        </w:rPr>
      </w:pPr>
      <w:r>
        <w:rPr>
          <w:rFonts w:hint="eastAsia" w:ascii="宋体" w:hAnsi="宋体" w:eastAsia="宋体" w:cs="宋体"/>
          <w:szCs w:val="21"/>
        </w:rPr>
        <w:t>当故障发生时，须以书面或电话、邮件形式向乙方提供故障说明，以帮助乙方人员做出正确的故障判断。</w:t>
      </w:r>
    </w:p>
    <w:p>
      <w:pPr>
        <w:numPr>
          <w:ilvl w:val="0"/>
          <w:numId w:val="10"/>
        </w:numPr>
        <w:tabs>
          <w:tab w:val="left" w:pos="3510"/>
        </w:tabs>
        <w:spacing w:before="100" w:beforeAutospacing="1" w:after="100" w:afterAutospacing="1" w:line="460" w:lineRule="exact"/>
        <w:jc w:val="left"/>
        <w:outlineLvl w:val="0"/>
        <w:rPr>
          <w:rFonts w:ascii="宋体" w:hAnsi="宋体" w:eastAsia="宋体" w:cs="宋体"/>
          <w:szCs w:val="21"/>
        </w:rPr>
      </w:pPr>
      <w:r>
        <w:rPr>
          <w:rFonts w:hint="eastAsia" w:ascii="宋体" w:hAnsi="宋体" w:eastAsia="宋体" w:cs="宋体"/>
          <w:szCs w:val="21"/>
        </w:rPr>
        <w:t>同意向乙方/原厂提供维修产品所需要的各种便利，诸如使用产品、电话、软件介质（磁带、软磁盘机、刻录盘、U盘和移动硬盘等）、软件程序和数据拷贝（乙方/原厂均不得将上述任何数据和物品带出甲方所在大楼的甲方办公楼层，或者未经甲方书面允许将其中数据拷贝、传输至非甲方所有或控制的媒介，否则甲方有权解除合同并按照本合同第五条第一款约定收取违约金）。</w:t>
      </w:r>
    </w:p>
    <w:p>
      <w:pPr>
        <w:numPr>
          <w:ilvl w:val="0"/>
          <w:numId w:val="10"/>
        </w:numPr>
        <w:tabs>
          <w:tab w:val="left" w:pos="3510"/>
        </w:tabs>
        <w:spacing w:before="100" w:beforeAutospacing="1" w:after="100" w:afterAutospacing="1" w:line="460" w:lineRule="exact"/>
        <w:jc w:val="left"/>
        <w:outlineLvl w:val="0"/>
        <w:rPr>
          <w:rFonts w:ascii="宋体" w:hAnsi="宋体" w:eastAsia="宋体" w:cs="宋体"/>
          <w:szCs w:val="21"/>
        </w:rPr>
      </w:pPr>
      <w:r>
        <w:rPr>
          <w:rFonts w:hint="eastAsia" w:ascii="宋体" w:hAnsi="宋体" w:eastAsia="宋体" w:cs="宋体"/>
          <w:szCs w:val="21"/>
        </w:rPr>
        <w:t>为乙方开展工作安排必要的知情联络人，进行场地和环境安排，该项协助义务以必要和有限为原则。</w:t>
      </w:r>
    </w:p>
    <w:p>
      <w:pPr>
        <w:numPr>
          <w:ilvl w:val="0"/>
          <w:numId w:val="10"/>
        </w:numPr>
        <w:tabs>
          <w:tab w:val="left" w:pos="3510"/>
        </w:tabs>
        <w:spacing w:before="100" w:beforeAutospacing="1" w:after="100" w:afterAutospacing="1" w:line="460" w:lineRule="exact"/>
        <w:jc w:val="left"/>
        <w:outlineLvl w:val="0"/>
        <w:rPr>
          <w:rFonts w:ascii="宋体" w:hAnsi="宋体" w:eastAsia="宋体" w:cs="宋体"/>
          <w:szCs w:val="21"/>
        </w:rPr>
      </w:pPr>
      <w:r>
        <w:rPr>
          <w:rFonts w:hint="eastAsia" w:ascii="宋体" w:hAnsi="宋体" w:eastAsia="宋体" w:cs="宋体"/>
          <w:szCs w:val="21"/>
        </w:rPr>
        <w:t>其它按照本合同应当由甲方完成或协助完成的工作。</w:t>
      </w:r>
    </w:p>
    <w:p>
      <w:pPr>
        <w:tabs>
          <w:tab w:val="left" w:pos="3510"/>
        </w:tabs>
        <w:spacing w:before="100" w:beforeAutospacing="1" w:after="100" w:afterAutospacing="1" w:line="460" w:lineRule="exact"/>
        <w:ind w:left="720" w:hanging="720"/>
        <w:outlineLvl w:val="0"/>
        <w:rPr>
          <w:rFonts w:ascii="宋体" w:hAnsi="宋体" w:eastAsia="宋体" w:cs="宋体"/>
          <w:szCs w:val="21"/>
        </w:rPr>
      </w:pPr>
      <w:r>
        <w:rPr>
          <w:rFonts w:hint="eastAsia" w:ascii="宋体" w:hAnsi="宋体" w:eastAsia="宋体" w:cs="宋体"/>
          <w:szCs w:val="21"/>
        </w:rPr>
        <w:t>乙方的义务：</w:t>
      </w:r>
    </w:p>
    <w:p>
      <w:pPr>
        <w:tabs>
          <w:tab w:val="left" w:pos="3510"/>
        </w:tabs>
        <w:spacing w:line="360" w:lineRule="auto"/>
        <w:outlineLvl w:val="0"/>
        <w:rPr>
          <w:rFonts w:ascii="宋体" w:hAnsi="宋体" w:eastAsia="宋体" w:cs="宋体"/>
          <w:szCs w:val="21"/>
        </w:rPr>
      </w:pPr>
      <w:r>
        <w:rPr>
          <w:rFonts w:hint="eastAsia" w:ascii="宋体" w:hAnsi="宋体" w:eastAsia="宋体" w:cs="宋体"/>
          <w:szCs w:val="21"/>
        </w:rPr>
        <w:t>1、乙方</w:t>
      </w:r>
      <w:r>
        <w:rPr>
          <w:rFonts w:hint="eastAsia" w:ascii="宋体" w:hAnsi="宋体" w:cs="宋体"/>
        </w:rPr>
        <w:t>应确保乙方及原厂</w:t>
      </w:r>
      <w:r>
        <w:rPr>
          <w:rFonts w:hint="eastAsia" w:ascii="宋体" w:hAnsi="宋体" w:eastAsia="宋体" w:cs="宋体"/>
          <w:szCs w:val="21"/>
        </w:rPr>
        <w:t>按照合同附件二中的服务条款就合同附件一的内容向甲方提供服务并保证服务质量。涉及向原厂下单的服务，在本合同签订后20个工作日内必须完成，并将原厂服务生效证明提供给甲方。</w:t>
      </w:r>
      <w:r>
        <w:rPr>
          <w:rFonts w:hint="eastAsia" w:ascii="宋体" w:hAnsi="宋体" w:cs="宋体"/>
        </w:rPr>
        <w:t>乙方/原厂</w:t>
      </w:r>
      <w:r>
        <w:rPr>
          <w:rFonts w:hint="eastAsia" w:ascii="宋体" w:hAnsi="宋体" w:eastAsia="宋体" w:cs="宋体"/>
          <w:szCs w:val="21"/>
        </w:rPr>
        <w:t>应在合同或其附件约定的时间内提供服务，解决问题时间不得超过合同及其</w:t>
      </w:r>
      <w:r>
        <w:rPr>
          <w:rFonts w:hint="eastAsia" w:ascii="宋体" w:hAnsi="宋体" w:cs="宋体"/>
        </w:rPr>
        <w:t>附件约定的时间，</w:t>
      </w:r>
      <w:r>
        <w:rPr>
          <w:rFonts w:hint="eastAsia" w:ascii="宋体" w:hAnsi="宋体" w:eastAsia="宋体" w:cs="宋体"/>
          <w:szCs w:val="21"/>
        </w:rPr>
        <w:t>甲方同意延长的除外。</w:t>
      </w:r>
    </w:p>
    <w:p>
      <w:pPr>
        <w:tabs>
          <w:tab w:val="left" w:pos="3510"/>
        </w:tabs>
        <w:spacing w:line="360" w:lineRule="auto"/>
        <w:ind w:left="720" w:hanging="720"/>
        <w:outlineLvl w:val="0"/>
        <w:rPr>
          <w:rFonts w:ascii="宋体" w:hAnsi="宋体" w:eastAsia="宋体" w:cs="宋体"/>
          <w:b/>
          <w:bCs/>
          <w:szCs w:val="21"/>
        </w:rPr>
      </w:pPr>
      <w:r>
        <w:rPr>
          <w:rFonts w:hint="eastAsia" w:ascii="宋体" w:hAnsi="宋体" w:eastAsia="宋体" w:cs="宋体"/>
          <w:szCs w:val="21"/>
        </w:rPr>
        <w:t>2、其它按照本合同应当由乙方完成或协助完成的工作。</w:t>
      </w:r>
    </w:p>
    <w:p>
      <w:pPr>
        <w:tabs>
          <w:tab w:val="left" w:pos="3510"/>
        </w:tabs>
        <w:spacing w:before="100" w:beforeAutospacing="1" w:after="100" w:afterAutospacing="1" w:line="460" w:lineRule="exact"/>
        <w:ind w:left="720" w:hanging="720"/>
        <w:outlineLvl w:val="0"/>
        <w:rPr>
          <w:rFonts w:ascii="宋体" w:hAnsi="宋体" w:eastAsia="宋体" w:cs="宋体"/>
          <w:b/>
          <w:bCs/>
          <w:szCs w:val="21"/>
        </w:rPr>
      </w:pPr>
      <w:r>
        <w:rPr>
          <w:rFonts w:hint="eastAsia" w:ascii="宋体" w:hAnsi="宋体" w:eastAsia="宋体" w:cs="宋体"/>
          <w:b/>
          <w:bCs/>
          <w:szCs w:val="21"/>
        </w:rPr>
        <w:t>五、违约责任</w:t>
      </w:r>
    </w:p>
    <w:p>
      <w:pPr>
        <w:tabs>
          <w:tab w:val="left" w:pos="3510"/>
        </w:tabs>
        <w:spacing w:before="100" w:beforeAutospacing="1" w:after="100" w:afterAutospacing="1" w:line="460" w:lineRule="exact"/>
        <w:ind w:left="720" w:hanging="720"/>
        <w:outlineLvl w:val="0"/>
        <w:rPr>
          <w:rFonts w:ascii="宋体" w:hAnsi="宋体" w:eastAsia="宋体" w:cs="宋体"/>
          <w:szCs w:val="21"/>
        </w:rPr>
      </w:pPr>
      <w:r>
        <w:rPr>
          <w:rFonts w:hint="eastAsia" w:ascii="宋体" w:hAnsi="宋体" w:eastAsia="宋体" w:cs="宋体"/>
          <w:szCs w:val="21"/>
        </w:rPr>
        <w:t>1、乙方违约责任：</w:t>
      </w:r>
    </w:p>
    <w:p>
      <w:pPr>
        <w:tabs>
          <w:tab w:val="left" w:pos="3510"/>
        </w:tabs>
        <w:spacing w:line="360" w:lineRule="auto"/>
        <w:outlineLvl w:val="0"/>
        <w:rPr>
          <w:rFonts w:ascii="宋体" w:hAnsi="宋体" w:eastAsia="宋体" w:cs="宋体"/>
          <w:szCs w:val="21"/>
        </w:rPr>
      </w:pPr>
      <w:r>
        <w:rPr>
          <w:rFonts w:hint="eastAsia" w:ascii="宋体" w:hAnsi="宋体" w:eastAsia="宋体" w:cs="宋体"/>
          <w:szCs w:val="21"/>
        </w:rPr>
        <w:t>（1）乙方逾期履行其所应尽的合同义务或</w:t>
      </w:r>
      <w:r>
        <w:rPr>
          <w:rFonts w:hint="eastAsia" w:ascii="宋体" w:hAnsi="宋体" w:cs="宋体"/>
        </w:rPr>
        <w:t>原厂</w:t>
      </w:r>
      <w:r>
        <w:rPr>
          <w:rFonts w:hint="eastAsia" w:ascii="宋体" w:hAnsi="宋体" w:eastAsia="宋体" w:cs="宋体"/>
          <w:szCs w:val="21"/>
        </w:rPr>
        <w:t>未能按照</w:t>
      </w:r>
      <w:r>
        <w:rPr>
          <w:rFonts w:hint="eastAsia" w:ascii="宋体" w:hAnsi="宋体" w:cs="宋体"/>
        </w:rPr>
        <w:t>本合同及</w:t>
      </w:r>
      <w:r>
        <w:rPr>
          <w:rFonts w:hint="eastAsia" w:ascii="宋体" w:hAnsi="宋体" w:eastAsia="宋体" w:cs="宋体"/>
          <w:szCs w:val="21"/>
        </w:rPr>
        <w:t>附件约定的内容完成服务项目（所供服务与合同及其附件约定不符且在合同约定的期限内未能纠正</w:t>
      </w:r>
      <w:r>
        <w:rPr>
          <w:rFonts w:hint="eastAsia" w:ascii="宋体" w:hAnsi="宋体" w:eastAsia="宋体" w:cs="宋体"/>
          <w:color w:val="000000"/>
          <w:szCs w:val="21"/>
        </w:rPr>
        <w:t>且无法令甲方满意的</w:t>
      </w:r>
      <w:r>
        <w:rPr>
          <w:rFonts w:hint="eastAsia" w:ascii="宋体" w:hAnsi="宋体" w:eastAsia="宋体" w:cs="宋体"/>
          <w:szCs w:val="21"/>
        </w:rPr>
        <w:t>），视为违约，违反1次，给予提醒，违反2次（含），每</w:t>
      </w:r>
      <w:r>
        <w:rPr>
          <w:rFonts w:hint="eastAsia" w:ascii="宋体" w:hAnsi="宋体" w:cs="宋体"/>
        </w:rPr>
        <w:t>日</w:t>
      </w:r>
      <w:r>
        <w:rPr>
          <w:rFonts w:hint="eastAsia" w:ascii="宋体" w:hAnsi="宋体" w:eastAsia="宋体" w:cs="宋体"/>
          <w:szCs w:val="21"/>
        </w:rPr>
        <w:t>按照合同总金额的1%向甲方支付违约金。此项违约金最高不超过合同总金额的20%。</w:t>
      </w:r>
      <w:r>
        <w:rPr>
          <w:rFonts w:hint="eastAsia" w:ascii="宋体" w:hAnsi="宋体" w:cs="宋体"/>
        </w:rPr>
        <w:t>无论是第几次违约，乙方/原厂</w:t>
      </w:r>
      <w:r>
        <w:rPr>
          <w:rFonts w:hint="eastAsia" w:ascii="宋体" w:hAnsi="宋体" w:eastAsia="宋体" w:cs="宋体"/>
          <w:szCs w:val="21"/>
        </w:rPr>
        <w:t>逾期20日仍未能提供服务或者所提供服务无法解决甲方的系统运行问题的</w:t>
      </w:r>
      <w:r>
        <w:rPr>
          <w:rFonts w:hint="eastAsia" w:ascii="宋体" w:hAnsi="宋体" w:eastAsia="宋体" w:cs="宋体"/>
          <w:color w:val="000000"/>
          <w:szCs w:val="21"/>
        </w:rPr>
        <w:t>且无法令甲方满意的</w:t>
      </w:r>
      <w:r>
        <w:rPr>
          <w:rFonts w:hint="eastAsia" w:ascii="宋体" w:hAnsi="宋体" w:eastAsia="宋体" w:cs="宋体"/>
          <w:szCs w:val="21"/>
        </w:rPr>
        <w:t>，甲方有权解除合同，并收回甲方已支付的所有款项，乙方对此须全力配合；解除合同后，除退回甲方已付款项外，乙方须另向甲方支付违约金，该违约金额为合同</w:t>
      </w:r>
      <w:r>
        <w:rPr>
          <w:rFonts w:hint="eastAsia" w:ascii="宋体" w:hAnsi="宋体" w:cs="宋体"/>
        </w:rPr>
        <w:t>总</w:t>
      </w:r>
      <w:r>
        <w:rPr>
          <w:rFonts w:hint="eastAsia" w:ascii="宋体" w:hAnsi="宋体" w:eastAsia="宋体" w:cs="宋体"/>
          <w:szCs w:val="21"/>
        </w:rPr>
        <w:t>金额的30%（该数额已包含前述按次计取的违约金）；由此给甲方造成其他损失的，乙方应承担赔偿责任。</w:t>
      </w:r>
    </w:p>
    <w:p>
      <w:pPr>
        <w:tabs>
          <w:tab w:val="left" w:pos="3510"/>
        </w:tabs>
        <w:spacing w:line="360" w:lineRule="auto"/>
        <w:outlineLvl w:val="0"/>
        <w:rPr>
          <w:rFonts w:ascii="宋体" w:hAnsi="宋体" w:eastAsia="宋体" w:cs="宋体"/>
          <w:szCs w:val="21"/>
        </w:rPr>
      </w:pPr>
      <w:r>
        <w:rPr>
          <w:rFonts w:hint="eastAsia" w:ascii="宋体" w:hAnsi="宋体" w:eastAsia="宋体" w:cs="宋体"/>
          <w:szCs w:val="21"/>
        </w:rPr>
        <w:t>（2）乙方所提供的服务不满足甲方对服务需求，若甲方同意接受则双方可重新协商合同价款；如果甲方不同意接受，则按照本条第（1）项约定执行合同。</w:t>
      </w:r>
    </w:p>
    <w:p>
      <w:pPr>
        <w:tabs>
          <w:tab w:val="left" w:pos="3510"/>
        </w:tabs>
        <w:spacing w:line="360" w:lineRule="auto"/>
        <w:outlineLvl w:val="0"/>
        <w:rPr>
          <w:rFonts w:ascii="宋体" w:hAnsi="宋体" w:eastAsia="宋体" w:cs="宋体"/>
          <w:szCs w:val="21"/>
        </w:rPr>
      </w:pPr>
      <w:r>
        <w:rPr>
          <w:rFonts w:hint="eastAsia" w:ascii="宋体" w:hAnsi="宋体" w:eastAsia="宋体" w:cs="宋体"/>
          <w:szCs w:val="21"/>
        </w:rPr>
        <w:t>（3）乙方在本项目招标过程中如有参与围标、串标或陪标等舞弊或作假行为的，一经甲方核实则构成违约，乙方应承担本合同</w:t>
      </w:r>
      <w:r>
        <w:rPr>
          <w:rFonts w:hint="eastAsia" w:ascii="宋体" w:hAnsi="宋体" w:cs="宋体"/>
        </w:rPr>
        <w:t>总</w:t>
      </w:r>
      <w:r>
        <w:rPr>
          <w:rFonts w:hint="eastAsia" w:ascii="宋体" w:hAnsi="宋体" w:eastAsia="宋体" w:cs="宋体"/>
          <w:szCs w:val="21"/>
        </w:rPr>
        <w:t>总额20%的违约金并返还甲方已支付的全部合同款项。同时，甲方有权解除本合同。若造成甲方其他损失，乙方须进行赔付。</w:t>
      </w:r>
    </w:p>
    <w:p>
      <w:pPr>
        <w:tabs>
          <w:tab w:val="left" w:pos="3510"/>
        </w:tabs>
        <w:spacing w:line="360" w:lineRule="auto"/>
        <w:outlineLvl w:val="0"/>
        <w:rPr>
          <w:rFonts w:ascii="宋体" w:hAnsi="宋体" w:eastAsia="宋体" w:cs="宋体"/>
          <w:szCs w:val="21"/>
        </w:rPr>
      </w:pPr>
      <w:r>
        <w:rPr>
          <w:rFonts w:hint="eastAsia" w:ascii="宋体" w:hAnsi="宋体" w:eastAsia="宋体" w:cs="宋体"/>
          <w:szCs w:val="21"/>
        </w:rPr>
        <w:t>（4）</w:t>
      </w:r>
      <w:r>
        <w:rPr>
          <w:rFonts w:hint="eastAsia"/>
        </w:rPr>
        <w:t>如乙方原因给甲方造成系统瘫痪、数据丢失、数据泄露等损失的，甲方有权解除合同，乙方应返还已收取的服务费，并</w:t>
      </w:r>
      <w:r>
        <w:rPr>
          <w:rFonts w:hint="eastAsia" w:ascii="宋体" w:hAnsi="宋体" w:cs="宋体"/>
        </w:rPr>
        <w:t>承担全额赔偿责任</w:t>
      </w:r>
      <w:r>
        <w:rPr>
          <w:rFonts w:hint="eastAsia"/>
        </w:rPr>
        <w:t>。</w:t>
      </w:r>
    </w:p>
    <w:p>
      <w:pPr>
        <w:tabs>
          <w:tab w:val="left" w:pos="3510"/>
        </w:tabs>
        <w:spacing w:before="100" w:beforeAutospacing="1" w:after="100" w:afterAutospacing="1" w:line="460" w:lineRule="exact"/>
        <w:ind w:left="720" w:hanging="720"/>
        <w:outlineLvl w:val="0"/>
        <w:rPr>
          <w:rFonts w:ascii="宋体" w:hAnsi="宋体" w:eastAsia="宋体" w:cs="宋体"/>
          <w:szCs w:val="21"/>
        </w:rPr>
      </w:pPr>
      <w:r>
        <w:rPr>
          <w:rFonts w:hint="eastAsia" w:ascii="宋体" w:hAnsi="宋体" w:eastAsia="宋体" w:cs="宋体"/>
          <w:szCs w:val="21"/>
        </w:rPr>
        <w:t>2、甲方违约责任：</w:t>
      </w:r>
    </w:p>
    <w:p>
      <w:pPr>
        <w:tabs>
          <w:tab w:val="left" w:pos="3510"/>
        </w:tabs>
        <w:spacing w:before="100" w:beforeAutospacing="1" w:after="100" w:afterAutospacing="1" w:line="460" w:lineRule="exact"/>
        <w:outlineLvl w:val="0"/>
        <w:rPr>
          <w:rFonts w:ascii="宋体" w:hAnsi="宋体" w:eastAsia="宋体" w:cs="宋体"/>
          <w:szCs w:val="21"/>
        </w:rPr>
      </w:pPr>
      <w:r>
        <w:rPr>
          <w:rFonts w:hint="eastAsia" w:ascii="宋体" w:hAnsi="宋体" w:eastAsia="宋体" w:cs="宋体"/>
          <w:szCs w:val="21"/>
        </w:rPr>
        <w:t>（1）甲方无正当理由逾期付款的，</w:t>
      </w:r>
      <w:r>
        <w:rPr>
          <w:rFonts w:hint="eastAsia" w:ascii="宋体" w:hAnsi="宋体" w:cs="宋体"/>
        </w:rPr>
        <w:t>乙方有权书面催讨，甲方收到乙方书面催讨后20天内无正当理由仍未付款的，</w:t>
      </w:r>
      <w:r>
        <w:rPr>
          <w:rFonts w:hint="eastAsia" w:ascii="宋体" w:hAnsi="宋体" w:eastAsia="宋体" w:cs="宋体"/>
          <w:szCs w:val="21"/>
        </w:rPr>
        <w:t>每逾期一日须按合同总金额的万分之三的标准向乙方支付违约金。此项违约金最高不超过合同总金额的20%。甲方逾期付款且经乙方书面催讨后30日仍未能支付合同规定款项的，乙方有权解除合同，并有权不返还甲方已支付款项。</w:t>
      </w:r>
    </w:p>
    <w:p>
      <w:pPr>
        <w:tabs>
          <w:tab w:val="left" w:pos="3510"/>
        </w:tabs>
        <w:spacing w:before="100" w:beforeAutospacing="1" w:after="100" w:afterAutospacing="1" w:line="360" w:lineRule="auto"/>
        <w:outlineLvl w:val="0"/>
        <w:rPr>
          <w:rFonts w:ascii="宋体" w:hAnsi="宋体" w:eastAsia="宋体" w:cs="宋体"/>
          <w:szCs w:val="21"/>
        </w:rPr>
      </w:pPr>
      <w:r>
        <w:rPr>
          <w:rFonts w:hint="eastAsia" w:ascii="宋体" w:hAnsi="宋体" w:eastAsia="宋体" w:cs="宋体"/>
          <w:szCs w:val="21"/>
        </w:rPr>
        <w:t>3、违约金支付：所有一方向另一方支付的违约金须在相应情形发生后10个工作日内支付。乙方违约后甲方收回已支付款项的支付方式照此办理。</w:t>
      </w:r>
      <w:r>
        <w:rPr>
          <w:rFonts w:hint="eastAsia" w:ascii="宋体" w:hAnsi="宋体" w:cs="宋体"/>
        </w:rPr>
        <w:t>乙方违约后甲方收回已支付款项的支付方式照此办理，即甲方书面通知解除合同后的20个工作日内，乙方应将甲方已支付的款项返还甲方。</w:t>
      </w:r>
    </w:p>
    <w:p>
      <w:pPr>
        <w:tabs>
          <w:tab w:val="left" w:pos="3510"/>
        </w:tabs>
        <w:spacing w:before="100" w:beforeAutospacing="1" w:after="100" w:afterAutospacing="1" w:line="360" w:lineRule="auto"/>
        <w:outlineLvl w:val="0"/>
        <w:rPr>
          <w:rFonts w:ascii="宋体" w:hAnsi="宋体" w:eastAsia="宋体" w:cs="宋体"/>
          <w:szCs w:val="21"/>
        </w:rPr>
      </w:pPr>
      <w:r>
        <w:rPr>
          <w:rFonts w:hint="eastAsia" w:ascii="宋体" w:hAnsi="宋体" w:eastAsia="宋体" w:cs="宋体"/>
          <w:szCs w:val="21"/>
        </w:rPr>
        <w:t>4、</w:t>
      </w:r>
      <w:r>
        <w:rPr>
          <w:rFonts w:hint="eastAsia" w:ascii="宋体" w:hAnsi="宋体" w:cs="宋体"/>
        </w:rPr>
        <w:t>在服务过程中，乙方/原厂应当做好安全防护工作，如发生乙方/原厂人员伤亡、财产损失的，由乙方/原厂负责赔偿，与甲方无关。</w:t>
      </w:r>
    </w:p>
    <w:p>
      <w:pPr>
        <w:tabs>
          <w:tab w:val="left" w:pos="3510"/>
        </w:tabs>
        <w:spacing w:before="100" w:beforeAutospacing="1" w:after="100" w:afterAutospacing="1" w:line="460" w:lineRule="exact"/>
        <w:ind w:left="720" w:hanging="720"/>
        <w:outlineLvl w:val="0"/>
        <w:rPr>
          <w:rFonts w:ascii="宋体" w:hAnsi="宋体" w:eastAsia="宋体" w:cs="宋体"/>
          <w:b/>
          <w:bCs/>
          <w:szCs w:val="21"/>
        </w:rPr>
      </w:pPr>
      <w:r>
        <w:rPr>
          <w:rFonts w:hint="eastAsia" w:ascii="宋体" w:hAnsi="宋体" w:eastAsia="宋体" w:cs="宋体"/>
          <w:b/>
          <w:bCs/>
          <w:szCs w:val="21"/>
        </w:rPr>
        <w:t>六、争议解决方式</w:t>
      </w:r>
    </w:p>
    <w:p>
      <w:pPr>
        <w:spacing w:line="460" w:lineRule="exact"/>
        <w:ind w:firstLine="420" w:firstLineChars="200"/>
        <w:rPr>
          <w:rFonts w:ascii="宋体" w:hAnsi="宋体" w:cs="宋体"/>
          <w:color w:val="000000"/>
        </w:rPr>
      </w:pPr>
      <w:r>
        <w:rPr>
          <w:rFonts w:hint="eastAsia" w:ascii="宋体" w:hAnsi="宋体" w:cs="宋体"/>
          <w:color w:val="000000"/>
        </w:rPr>
        <w:t>因本合同产生的或履行本合同引起的任何争议，双方应首先协商解决。任何一方不愿意协商解决，或在协商开始后的30日内不能解决的，任何一方均可向甲方所在地的人民法院提起诉讼，通过法律程序予以解决。</w:t>
      </w:r>
    </w:p>
    <w:p>
      <w:pPr>
        <w:tabs>
          <w:tab w:val="left" w:pos="3510"/>
        </w:tabs>
        <w:spacing w:before="100" w:beforeAutospacing="1" w:after="100" w:afterAutospacing="1" w:line="460" w:lineRule="exact"/>
        <w:ind w:left="720" w:hanging="720"/>
        <w:outlineLvl w:val="0"/>
        <w:rPr>
          <w:rFonts w:ascii="宋体" w:hAnsi="宋体" w:eastAsia="宋体" w:cs="宋体"/>
          <w:szCs w:val="21"/>
        </w:rPr>
      </w:pPr>
      <w:r>
        <w:rPr>
          <w:rFonts w:hint="eastAsia" w:ascii="宋体" w:hAnsi="宋体" w:eastAsia="宋体" w:cs="宋体"/>
          <w:b/>
          <w:bCs/>
          <w:szCs w:val="21"/>
        </w:rPr>
        <w:t>七、商业秘密</w:t>
      </w:r>
    </w:p>
    <w:p>
      <w:pPr>
        <w:tabs>
          <w:tab w:val="left" w:pos="3510"/>
        </w:tabs>
        <w:spacing w:line="4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pPr>
        <w:tabs>
          <w:tab w:val="left" w:pos="3510"/>
        </w:tabs>
        <w:spacing w:line="4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pPr>
        <w:tabs>
          <w:tab w:val="left" w:pos="3510"/>
        </w:tabs>
        <w:spacing w:before="100" w:beforeAutospacing="1" w:after="100" w:afterAutospacing="1" w:line="460" w:lineRule="exact"/>
        <w:ind w:left="720" w:hanging="720"/>
        <w:outlineLvl w:val="0"/>
        <w:rPr>
          <w:rFonts w:ascii="宋体" w:hAnsi="宋体" w:eastAsia="宋体" w:cs="宋体"/>
          <w:b/>
          <w:bCs/>
          <w:szCs w:val="21"/>
        </w:rPr>
      </w:pPr>
      <w:r>
        <w:rPr>
          <w:rFonts w:hint="eastAsia" w:ascii="宋体" w:hAnsi="宋体" w:eastAsia="宋体" w:cs="宋体"/>
          <w:b/>
          <w:bCs/>
          <w:szCs w:val="21"/>
        </w:rPr>
        <w:t>八、权利瑕疵担保</w:t>
      </w:r>
    </w:p>
    <w:p>
      <w:pPr>
        <w:tabs>
          <w:tab w:val="left" w:pos="3510"/>
        </w:tabs>
        <w:spacing w:line="460" w:lineRule="exact"/>
        <w:ind w:firstLine="525" w:firstLineChars="250"/>
        <w:rPr>
          <w:rFonts w:ascii="宋体" w:hAnsi="宋体" w:eastAsia="宋体" w:cs="宋体"/>
          <w:color w:val="000000"/>
          <w:kern w:val="0"/>
          <w:szCs w:val="21"/>
        </w:rPr>
      </w:pPr>
      <w:r>
        <w:rPr>
          <w:rFonts w:hint="eastAsia" w:ascii="宋体" w:hAnsi="宋体" w:eastAsia="宋体" w:cs="宋体"/>
          <w:color w:val="000000"/>
          <w:kern w:val="0"/>
          <w:szCs w:val="21"/>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如因侵权给合同另一方造成损失的应给予赔偿。</w:t>
      </w:r>
    </w:p>
    <w:p>
      <w:pPr>
        <w:tabs>
          <w:tab w:val="left" w:pos="3510"/>
        </w:tabs>
        <w:spacing w:before="100" w:beforeAutospacing="1" w:after="100" w:afterAutospacing="1" w:line="460" w:lineRule="exact"/>
        <w:ind w:left="720" w:hanging="720"/>
        <w:outlineLvl w:val="0"/>
        <w:rPr>
          <w:rFonts w:ascii="宋体" w:hAnsi="宋体" w:eastAsia="宋体" w:cs="宋体"/>
          <w:b/>
          <w:bCs/>
          <w:szCs w:val="21"/>
        </w:rPr>
      </w:pPr>
      <w:r>
        <w:rPr>
          <w:rFonts w:hint="eastAsia" w:ascii="宋体" w:hAnsi="宋体" w:eastAsia="宋体" w:cs="宋体"/>
          <w:b/>
          <w:bCs/>
          <w:szCs w:val="21"/>
        </w:rPr>
        <w:t>九、不可抗力和其他延时</w:t>
      </w:r>
    </w:p>
    <w:p>
      <w:pPr>
        <w:tabs>
          <w:tab w:val="left" w:pos="3510"/>
        </w:tabs>
        <w:spacing w:line="4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如果本合同的其中一方因受战争、火灾、洪水、台风、地震、传染病疫情和政府行为等依法视为不可抗力之因素而造成无法按合同约定履行义务时，则履约时间应该被相应地延长，而且对于因延时而造成的损失，任何一方都不必承担责任。</w:t>
      </w:r>
    </w:p>
    <w:p>
      <w:pPr>
        <w:tabs>
          <w:tab w:val="left" w:pos="3510"/>
        </w:tabs>
        <w:spacing w:line="4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履约受阻的一方应在不可抗力因素发生后尽可能短的时间内以书面形式通知另一方，并在此后20日内，用航空挂号信将有关部门签发的书面证明作为证据发送给另一方。</w:t>
      </w:r>
      <w:r>
        <w:rPr>
          <w:rFonts w:hint="eastAsia" w:ascii="宋体" w:hAnsi="宋体" w:cs="宋体"/>
          <w:color w:val="000000"/>
          <w:kern w:val="0"/>
        </w:rPr>
        <w:t>同时应采取积极措施减少不可抗力事件造成的损失。</w:t>
      </w:r>
    </w:p>
    <w:p>
      <w:pPr>
        <w:tabs>
          <w:tab w:val="left" w:pos="3510"/>
        </w:tabs>
        <w:spacing w:line="4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如果不可抗力因素的影响将持续十五天以上，双方应该通过友好谈判的方式，</w:t>
      </w:r>
      <w:r>
        <w:rPr>
          <w:rFonts w:hint="eastAsia" w:ascii="宋体" w:hAnsi="宋体" w:cs="宋体"/>
          <w:color w:val="000000"/>
          <w:kern w:val="0"/>
        </w:rPr>
        <w:t>解除本合同或就本合同的后续履行尽快达成补充协议</w:t>
      </w:r>
      <w:r>
        <w:rPr>
          <w:rFonts w:hint="eastAsia" w:ascii="宋体" w:hAnsi="宋体" w:eastAsia="宋体" w:cs="宋体"/>
          <w:color w:val="000000"/>
          <w:kern w:val="0"/>
          <w:szCs w:val="21"/>
        </w:rPr>
        <w:t>。</w:t>
      </w:r>
    </w:p>
    <w:p>
      <w:pPr>
        <w:tabs>
          <w:tab w:val="left" w:pos="3510"/>
        </w:tabs>
        <w:spacing w:before="100" w:beforeAutospacing="1" w:after="100" w:afterAutospacing="1" w:line="460" w:lineRule="exact"/>
        <w:ind w:left="720" w:hanging="720"/>
        <w:outlineLvl w:val="0"/>
        <w:rPr>
          <w:rFonts w:ascii="宋体" w:hAnsi="宋体" w:eastAsia="宋体" w:cs="宋体"/>
          <w:b/>
          <w:bCs/>
          <w:szCs w:val="21"/>
        </w:rPr>
      </w:pPr>
      <w:r>
        <w:rPr>
          <w:rFonts w:hint="eastAsia" w:ascii="宋体" w:hAnsi="宋体" w:eastAsia="宋体" w:cs="宋体"/>
          <w:b/>
          <w:bCs/>
          <w:szCs w:val="21"/>
        </w:rPr>
        <w:t>十、合同效力及变更</w:t>
      </w:r>
    </w:p>
    <w:p>
      <w:pPr>
        <w:autoSpaceDE w:val="0"/>
        <w:autoSpaceDN w:val="0"/>
        <w:adjustRightInd w:val="0"/>
        <w:spacing w:line="4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本合同经双方加盖公章或合同专用章后生效，并以最后盖章日期为生效日期，仅一方填写日期，则该日期为合同生效日期，若双方均未填写日期，本合同不生效。</w:t>
      </w:r>
    </w:p>
    <w:p>
      <w:pPr>
        <w:autoSpaceDE w:val="0"/>
        <w:autoSpaceDN w:val="0"/>
        <w:adjustRightInd w:val="0"/>
        <w:spacing w:line="4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乙方须无条件配合甲方完成“中国网络安全认证和市场监管大数据中心”的网络安全审查并提供审查所需材料（如需），若未通过网络安全审查，甲方有权解除本合同，并要求乙方退还甲方支付的全部款项。</w:t>
      </w:r>
    </w:p>
    <w:p>
      <w:pPr>
        <w:autoSpaceDE w:val="0"/>
        <w:autoSpaceDN w:val="0"/>
        <w:adjustRightInd w:val="0"/>
        <w:spacing w:line="4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合同未尽事宜双方应协商解决，必要时可签订补充协议，补充协议作为合同附件与合同正本有同等法律效力。</w:t>
      </w:r>
    </w:p>
    <w:p>
      <w:pPr>
        <w:autoSpaceDE w:val="0"/>
        <w:autoSpaceDN w:val="0"/>
        <w:adjustRightInd w:val="0"/>
        <w:spacing w:line="4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特别约定：合同及其附件构成全部合同，合同生效之日起，双方以前或执行本合同过程中所做的任何口头交流、声明等相关文件均告无效。本合同任何一方均可提出对本合同内容的补充和修订，但是任何补充和修订仅能以合同各方盖章的书面文件形式进行，该类文件是本合同的有效组成部分。</w:t>
      </w:r>
    </w:p>
    <w:p>
      <w:pPr>
        <w:autoSpaceDE w:val="0"/>
        <w:autoSpaceDN w:val="0"/>
        <w:adjustRightInd w:val="0"/>
        <w:spacing w:line="4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本合同一式肆份，甲乙双方各执贰份，具有同等法律效力。</w:t>
      </w:r>
    </w:p>
    <w:p>
      <w:pPr>
        <w:autoSpaceDE w:val="0"/>
        <w:autoSpaceDN w:val="0"/>
        <w:adjustRightInd w:val="0"/>
        <w:spacing w:line="460" w:lineRule="exact"/>
        <w:ind w:firstLine="420" w:firstLineChars="200"/>
        <w:jc w:val="left"/>
        <w:rPr>
          <w:rFonts w:ascii="宋体" w:hAnsi="宋体" w:eastAsia="宋体" w:cs="宋体"/>
          <w:szCs w:val="21"/>
        </w:rPr>
      </w:pPr>
      <w:r>
        <w:rPr>
          <w:rFonts w:hint="eastAsia" w:ascii="宋体" w:hAnsi="宋体" w:eastAsia="宋体" w:cs="宋体"/>
          <w:szCs w:val="21"/>
        </w:rPr>
        <w:t>甲方在其官网上公告的项目采购书的公示内容及乙方的投标文件作为本合同的一部分，具有同等法律效力。</w:t>
      </w:r>
    </w:p>
    <w:p>
      <w:pPr>
        <w:tabs>
          <w:tab w:val="left" w:pos="3510"/>
        </w:tabs>
        <w:spacing w:line="460" w:lineRule="exact"/>
        <w:rPr>
          <w:rFonts w:ascii="宋体" w:hAnsi="宋体" w:eastAsia="宋体" w:cs="宋体"/>
          <w:b/>
          <w:bCs/>
          <w:szCs w:val="21"/>
        </w:rPr>
      </w:pPr>
    </w:p>
    <w:p>
      <w:pPr>
        <w:tabs>
          <w:tab w:val="left" w:pos="3510"/>
        </w:tabs>
        <w:spacing w:line="460" w:lineRule="exact"/>
        <w:rPr>
          <w:rFonts w:ascii="宋体" w:hAnsi="宋体" w:eastAsia="宋体" w:cs="宋体"/>
          <w:b/>
          <w:bCs/>
          <w:szCs w:val="21"/>
        </w:rPr>
      </w:pPr>
      <w:r>
        <w:rPr>
          <w:rFonts w:hint="eastAsia" w:ascii="宋体" w:hAnsi="宋体" w:eastAsia="宋体" w:cs="宋体"/>
          <w:b/>
          <w:bCs/>
          <w:szCs w:val="21"/>
        </w:rPr>
        <w:t>甲方：上海黄金交易所（章）               乙方：（章）</w:t>
      </w:r>
    </w:p>
    <w:p>
      <w:pPr>
        <w:tabs>
          <w:tab w:val="left" w:pos="3510"/>
        </w:tabs>
        <w:spacing w:line="460" w:lineRule="exact"/>
        <w:rPr>
          <w:rFonts w:ascii="宋体" w:hAnsi="宋体" w:eastAsia="宋体" w:cs="宋体"/>
          <w:b/>
          <w:bCs/>
          <w:szCs w:val="21"/>
        </w:rPr>
      </w:pPr>
    </w:p>
    <w:p>
      <w:pPr>
        <w:tabs>
          <w:tab w:val="left" w:pos="360"/>
        </w:tabs>
        <w:spacing w:line="300" w:lineRule="auto"/>
        <w:rPr>
          <w:rFonts w:ascii="宋体" w:hAnsi="宋体" w:eastAsia="宋体"/>
          <w:sz w:val="24"/>
          <w:szCs w:val="24"/>
        </w:rPr>
      </w:pPr>
      <w:r>
        <w:rPr>
          <w:rFonts w:hint="eastAsia" w:ascii="宋体" w:hAnsi="宋体" w:eastAsia="宋体" w:cs="宋体"/>
          <w:b/>
          <w:bCs/>
          <w:szCs w:val="21"/>
        </w:rPr>
        <w:t xml:space="preserve">日期：  年    月     日                  日期：  年     月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utura Bk">
    <w:altName w:val="Arial"/>
    <w:panose1 w:val="00000000000000000000"/>
    <w:charset w:val="00"/>
    <w:family w:val="swiss"/>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614576"/>
    </w:sdtPr>
    <w:sdtEndPr>
      <w:rPr>
        <w:rFonts w:asciiTheme="minorEastAsia" w:hAnsiTheme="minorEastAsia"/>
        <w:sz w:val="21"/>
        <w:szCs w:val="21"/>
      </w:rPr>
    </w:sdtEndPr>
    <w:sdtContent>
      <w:p>
        <w:pPr>
          <w:pStyle w:val="7"/>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13</w:t>
        </w:r>
        <w:r>
          <w:rPr>
            <w:rFonts w:asciiTheme="minorEastAsia" w:hAnsi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lvlText w:val="%3)"/>
      <w:lvlJc w:val="left"/>
      <w:pPr>
        <w:ind w:left="456" w:hanging="360"/>
      </w:pPr>
      <w:rPr>
        <w:rFonts w:hint="default"/>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20"/>
    <w:multiLevelType w:val="multilevel"/>
    <w:tmpl w:val="00000020"/>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222022C"/>
    <w:multiLevelType w:val="multilevel"/>
    <w:tmpl w:val="0222022C"/>
    <w:lvl w:ilvl="0" w:tentative="0">
      <w:start w:val="2"/>
      <w:numFmt w:val="none"/>
      <w:lvlText w:val="二、"/>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eastAsia"/>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045623"/>
    <w:multiLevelType w:val="multilevel"/>
    <w:tmpl w:val="24045623"/>
    <w:lvl w:ilvl="0" w:tentative="0">
      <w:start w:val="1"/>
      <w:numFmt w:val="japaneseCounting"/>
      <w:lvlText w:val="%1、"/>
      <w:lvlJc w:val="left"/>
      <w:pPr>
        <w:ind w:left="810" w:hanging="8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223C21"/>
    <w:multiLevelType w:val="multilevel"/>
    <w:tmpl w:val="25223C21"/>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76D3939"/>
    <w:multiLevelType w:val="multilevel"/>
    <w:tmpl w:val="276D3939"/>
    <w:lvl w:ilvl="0" w:tentative="0">
      <w:start w:val="1"/>
      <w:numFmt w:val="japaneseCounting"/>
      <w:lvlText w:val="%1、"/>
      <w:lvlJc w:val="left"/>
      <w:pPr>
        <w:tabs>
          <w:tab w:val="left" w:pos="765"/>
        </w:tabs>
        <w:ind w:left="765" w:hanging="405"/>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3D383CEC"/>
    <w:multiLevelType w:val="multilevel"/>
    <w:tmpl w:val="3D383CEC"/>
    <w:lvl w:ilvl="0" w:tentative="0">
      <w:start w:val="2"/>
      <w:numFmt w:val="none"/>
      <w:lvlText w:val="二、"/>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A5D0475"/>
    <w:multiLevelType w:val="multilevel"/>
    <w:tmpl w:val="4A5D04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7FC2DB1"/>
    <w:multiLevelType w:val="multilevel"/>
    <w:tmpl w:val="57FC2DB1"/>
    <w:lvl w:ilvl="0" w:tentative="0">
      <w:start w:val="1"/>
      <w:numFmt w:val="decimal"/>
      <w:lvlText w:val="%1、"/>
      <w:lvlJc w:val="left"/>
      <w:pPr>
        <w:ind w:left="866" w:hanging="38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8EEEFE0"/>
    <w:multiLevelType w:val="singleLevel"/>
    <w:tmpl w:val="58EEEFE0"/>
    <w:lvl w:ilvl="0" w:tentative="0">
      <w:start w:val="1"/>
      <w:numFmt w:val="decimal"/>
      <w:suff w:val="nothing"/>
      <w:lvlText w:val="%1、"/>
      <w:lvlJc w:val="left"/>
    </w:lvl>
  </w:abstractNum>
  <w:num w:numId="1">
    <w:abstractNumId w:val="0"/>
  </w:num>
  <w:num w:numId="2">
    <w:abstractNumId w:val="8"/>
  </w:num>
  <w:num w:numId="3">
    <w:abstractNumId w:val="4"/>
  </w:num>
  <w:num w:numId="4">
    <w:abstractNumId w:val="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mQ3OGQ3MWIxNjM0NzM0YzIzOThmN2FmMTM2YjMifQ=="/>
  </w:docVars>
  <w:rsids>
    <w:rsidRoot w:val="008B32B7"/>
    <w:rsid w:val="00014751"/>
    <w:rsid w:val="00015194"/>
    <w:rsid w:val="000151DB"/>
    <w:rsid w:val="00015249"/>
    <w:rsid w:val="00015ABC"/>
    <w:rsid w:val="0002611C"/>
    <w:rsid w:val="00035425"/>
    <w:rsid w:val="0003607F"/>
    <w:rsid w:val="00044BF3"/>
    <w:rsid w:val="00054F4B"/>
    <w:rsid w:val="00054FBD"/>
    <w:rsid w:val="00056051"/>
    <w:rsid w:val="00070FB3"/>
    <w:rsid w:val="00073095"/>
    <w:rsid w:val="00075783"/>
    <w:rsid w:val="0007717C"/>
    <w:rsid w:val="0008282E"/>
    <w:rsid w:val="000928F1"/>
    <w:rsid w:val="000944B1"/>
    <w:rsid w:val="000A162C"/>
    <w:rsid w:val="000A1AC7"/>
    <w:rsid w:val="000A401A"/>
    <w:rsid w:val="000A4F2E"/>
    <w:rsid w:val="000A4F79"/>
    <w:rsid w:val="000B42EC"/>
    <w:rsid w:val="000B44AC"/>
    <w:rsid w:val="000B4EFE"/>
    <w:rsid w:val="000C7343"/>
    <w:rsid w:val="000D523B"/>
    <w:rsid w:val="000D6F73"/>
    <w:rsid w:val="000D7167"/>
    <w:rsid w:val="000E2D2F"/>
    <w:rsid w:val="000F7A37"/>
    <w:rsid w:val="001045DB"/>
    <w:rsid w:val="001058EB"/>
    <w:rsid w:val="0011196A"/>
    <w:rsid w:val="00124798"/>
    <w:rsid w:val="00125E13"/>
    <w:rsid w:val="001332DA"/>
    <w:rsid w:val="00146DFC"/>
    <w:rsid w:val="00150FCE"/>
    <w:rsid w:val="00151533"/>
    <w:rsid w:val="00152B19"/>
    <w:rsid w:val="00161953"/>
    <w:rsid w:val="00162A0D"/>
    <w:rsid w:val="00163CB0"/>
    <w:rsid w:val="0016601F"/>
    <w:rsid w:val="001675AA"/>
    <w:rsid w:val="001746E7"/>
    <w:rsid w:val="001768D5"/>
    <w:rsid w:val="00183479"/>
    <w:rsid w:val="00195174"/>
    <w:rsid w:val="001A7140"/>
    <w:rsid w:val="001B47AE"/>
    <w:rsid w:val="001C49CA"/>
    <w:rsid w:val="001D52BB"/>
    <w:rsid w:val="001D65AA"/>
    <w:rsid w:val="001E2F25"/>
    <w:rsid w:val="001F1335"/>
    <w:rsid w:val="001F721B"/>
    <w:rsid w:val="00201623"/>
    <w:rsid w:val="0020372A"/>
    <w:rsid w:val="002250F4"/>
    <w:rsid w:val="00231BF8"/>
    <w:rsid w:val="00232894"/>
    <w:rsid w:val="00244C3A"/>
    <w:rsid w:val="00273CC6"/>
    <w:rsid w:val="002972FD"/>
    <w:rsid w:val="002C632B"/>
    <w:rsid w:val="002D7859"/>
    <w:rsid w:val="002E2FCB"/>
    <w:rsid w:val="002E656C"/>
    <w:rsid w:val="002F7CB4"/>
    <w:rsid w:val="00302E22"/>
    <w:rsid w:val="00310DBF"/>
    <w:rsid w:val="00314075"/>
    <w:rsid w:val="00337825"/>
    <w:rsid w:val="003430A1"/>
    <w:rsid w:val="003433C1"/>
    <w:rsid w:val="00344D6D"/>
    <w:rsid w:val="00344E34"/>
    <w:rsid w:val="00356949"/>
    <w:rsid w:val="00372F39"/>
    <w:rsid w:val="0037385B"/>
    <w:rsid w:val="003773D6"/>
    <w:rsid w:val="00381A8F"/>
    <w:rsid w:val="003844A8"/>
    <w:rsid w:val="00387650"/>
    <w:rsid w:val="003A10D3"/>
    <w:rsid w:val="003A74D8"/>
    <w:rsid w:val="003B0186"/>
    <w:rsid w:val="003B044F"/>
    <w:rsid w:val="003B35A5"/>
    <w:rsid w:val="003C064C"/>
    <w:rsid w:val="003C0C85"/>
    <w:rsid w:val="003C10BD"/>
    <w:rsid w:val="003C296C"/>
    <w:rsid w:val="003C3E94"/>
    <w:rsid w:val="003D1E4E"/>
    <w:rsid w:val="003D63BD"/>
    <w:rsid w:val="003E7B39"/>
    <w:rsid w:val="003F049A"/>
    <w:rsid w:val="003F2DBF"/>
    <w:rsid w:val="003F6E15"/>
    <w:rsid w:val="00405A4C"/>
    <w:rsid w:val="0040674A"/>
    <w:rsid w:val="00407EAD"/>
    <w:rsid w:val="00411DCF"/>
    <w:rsid w:val="00417EFF"/>
    <w:rsid w:val="00426A6F"/>
    <w:rsid w:val="00434F4A"/>
    <w:rsid w:val="0044797F"/>
    <w:rsid w:val="00451DE0"/>
    <w:rsid w:val="004525F6"/>
    <w:rsid w:val="00457470"/>
    <w:rsid w:val="0046751C"/>
    <w:rsid w:val="004676F0"/>
    <w:rsid w:val="004713D4"/>
    <w:rsid w:val="00471A37"/>
    <w:rsid w:val="004758F2"/>
    <w:rsid w:val="00477DA7"/>
    <w:rsid w:val="00483BCA"/>
    <w:rsid w:val="004A6EB0"/>
    <w:rsid w:val="004B39B4"/>
    <w:rsid w:val="004B60BD"/>
    <w:rsid w:val="004C24F4"/>
    <w:rsid w:val="004C3B2C"/>
    <w:rsid w:val="004C674F"/>
    <w:rsid w:val="004D12D7"/>
    <w:rsid w:val="004D6759"/>
    <w:rsid w:val="004E2150"/>
    <w:rsid w:val="004F4210"/>
    <w:rsid w:val="004F5E1B"/>
    <w:rsid w:val="00501A16"/>
    <w:rsid w:val="00506E1C"/>
    <w:rsid w:val="005328EE"/>
    <w:rsid w:val="00546A9A"/>
    <w:rsid w:val="00553D69"/>
    <w:rsid w:val="00561ADF"/>
    <w:rsid w:val="00562DC1"/>
    <w:rsid w:val="0056330F"/>
    <w:rsid w:val="005634DC"/>
    <w:rsid w:val="00566849"/>
    <w:rsid w:val="005844A6"/>
    <w:rsid w:val="005912F5"/>
    <w:rsid w:val="005A1C18"/>
    <w:rsid w:val="005B2974"/>
    <w:rsid w:val="005C067F"/>
    <w:rsid w:val="005C16EC"/>
    <w:rsid w:val="005C43F2"/>
    <w:rsid w:val="005C5C37"/>
    <w:rsid w:val="005C711F"/>
    <w:rsid w:val="005D32E1"/>
    <w:rsid w:val="005D4AD3"/>
    <w:rsid w:val="005D604C"/>
    <w:rsid w:val="005E4826"/>
    <w:rsid w:val="005F1C01"/>
    <w:rsid w:val="00602028"/>
    <w:rsid w:val="0060737A"/>
    <w:rsid w:val="006073EF"/>
    <w:rsid w:val="00613203"/>
    <w:rsid w:val="00614635"/>
    <w:rsid w:val="006202C5"/>
    <w:rsid w:val="006431ED"/>
    <w:rsid w:val="006435B2"/>
    <w:rsid w:val="006528D4"/>
    <w:rsid w:val="0065721E"/>
    <w:rsid w:val="00662E42"/>
    <w:rsid w:val="00664638"/>
    <w:rsid w:val="00671DC6"/>
    <w:rsid w:val="00674AC7"/>
    <w:rsid w:val="00674F8F"/>
    <w:rsid w:val="00680B49"/>
    <w:rsid w:val="00681AAA"/>
    <w:rsid w:val="00684EB1"/>
    <w:rsid w:val="00690530"/>
    <w:rsid w:val="00691DFC"/>
    <w:rsid w:val="006A34A9"/>
    <w:rsid w:val="006B5B40"/>
    <w:rsid w:val="006C169F"/>
    <w:rsid w:val="006C61F5"/>
    <w:rsid w:val="006C6809"/>
    <w:rsid w:val="006D1FD1"/>
    <w:rsid w:val="006D3375"/>
    <w:rsid w:val="006D38E7"/>
    <w:rsid w:val="006D553D"/>
    <w:rsid w:val="006F22E1"/>
    <w:rsid w:val="006F38FE"/>
    <w:rsid w:val="006F6ADF"/>
    <w:rsid w:val="00701DA2"/>
    <w:rsid w:val="0070555C"/>
    <w:rsid w:val="007110B9"/>
    <w:rsid w:val="00720C8A"/>
    <w:rsid w:val="007222DB"/>
    <w:rsid w:val="007356AE"/>
    <w:rsid w:val="00740777"/>
    <w:rsid w:val="00743C70"/>
    <w:rsid w:val="0074481D"/>
    <w:rsid w:val="007509D0"/>
    <w:rsid w:val="00771F40"/>
    <w:rsid w:val="007818D3"/>
    <w:rsid w:val="00786AA1"/>
    <w:rsid w:val="00790548"/>
    <w:rsid w:val="007932EF"/>
    <w:rsid w:val="00794922"/>
    <w:rsid w:val="00794F6B"/>
    <w:rsid w:val="00797871"/>
    <w:rsid w:val="007B2A07"/>
    <w:rsid w:val="007B3548"/>
    <w:rsid w:val="007C4DEE"/>
    <w:rsid w:val="007C4EB0"/>
    <w:rsid w:val="007D5441"/>
    <w:rsid w:val="007F078C"/>
    <w:rsid w:val="007F1E8B"/>
    <w:rsid w:val="007F531F"/>
    <w:rsid w:val="007F79E5"/>
    <w:rsid w:val="008011F5"/>
    <w:rsid w:val="00803420"/>
    <w:rsid w:val="00806CA4"/>
    <w:rsid w:val="008100DF"/>
    <w:rsid w:val="00810913"/>
    <w:rsid w:val="00810BDD"/>
    <w:rsid w:val="00810C33"/>
    <w:rsid w:val="00820A13"/>
    <w:rsid w:val="00825B4F"/>
    <w:rsid w:val="00827BA1"/>
    <w:rsid w:val="00830CC0"/>
    <w:rsid w:val="008360E3"/>
    <w:rsid w:val="00837658"/>
    <w:rsid w:val="00837B8F"/>
    <w:rsid w:val="008418AE"/>
    <w:rsid w:val="00850885"/>
    <w:rsid w:val="00852555"/>
    <w:rsid w:val="0085367C"/>
    <w:rsid w:val="008623CC"/>
    <w:rsid w:val="00864938"/>
    <w:rsid w:val="00867A53"/>
    <w:rsid w:val="0087380C"/>
    <w:rsid w:val="008773B4"/>
    <w:rsid w:val="008913B3"/>
    <w:rsid w:val="008A200E"/>
    <w:rsid w:val="008A6DBC"/>
    <w:rsid w:val="008A7A8A"/>
    <w:rsid w:val="008A7B83"/>
    <w:rsid w:val="008B2FEB"/>
    <w:rsid w:val="008B32B7"/>
    <w:rsid w:val="008D06F3"/>
    <w:rsid w:val="008D4D9A"/>
    <w:rsid w:val="008E43E6"/>
    <w:rsid w:val="008E4FD2"/>
    <w:rsid w:val="008F6A88"/>
    <w:rsid w:val="008F6C28"/>
    <w:rsid w:val="008F777D"/>
    <w:rsid w:val="00901D30"/>
    <w:rsid w:val="00923C0A"/>
    <w:rsid w:val="00930D2C"/>
    <w:rsid w:val="00932CF3"/>
    <w:rsid w:val="0093777C"/>
    <w:rsid w:val="00937DA9"/>
    <w:rsid w:val="00940AA2"/>
    <w:rsid w:val="009458EC"/>
    <w:rsid w:val="00950436"/>
    <w:rsid w:val="009833B0"/>
    <w:rsid w:val="009841BF"/>
    <w:rsid w:val="00984E12"/>
    <w:rsid w:val="00986775"/>
    <w:rsid w:val="009877E0"/>
    <w:rsid w:val="009927C5"/>
    <w:rsid w:val="009A047B"/>
    <w:rsid w:val="009B0623"/>
    <w:rsid w:val="009B20DD"/>
    <w:rsid w:val="009C5B58"/>
    <w:rsid w:val="009D2E08"/>
    <w:rsid w:val="009D4D03"/>
    <w:rsid w:val="009D5CDA"/>
    <w:rsid w:val="009E1565"/>
    <w:rsid w:val="009F5B99"/>
    <w:rsid w:val="009F6535"/>
    <w:rsid w:val="00A02246"/>
    <w:rsid w:val="00A0786E"/>
    <w:rsid w:val="00A12B29"/>
    <w:rsid w:val="00A12F74"/>
    <w:rsid w:val="00A220DB"/>
    <w:rsid w:val="00A326C5"/>
    <w:rsid w:val="00A32D9F"/>
    <w:rsid w:val="00A34C22"/>
    <w:rsid w:val="00A3550F"/>
    <w:rsid w:val="00A45139"/>
    <w:rsid w:val="00A45C86"/>
    <w:rsid w:val="00A479A9"/>
    <w:rsid w:val="00A648F5"/>
    <w:rsid w:val="00A7026A"/>
    <w:rsid w:val="00A7287A"/>
    <w:rsid w:val="00A8373B"/>
    <w:rsid w:val="00A902B5"/>
    <w:rsid w:val="00A96AAF"/>
    <w:rsid w:val="00AA33BD"/>
    <w:rsid w:val="00AB6D51"/>
    <w:rsid w:val="00AC692B"/>
    <w:rsid w:val="00AD3795"/>
    <w:rsid w:val="00AD534F"/>
    <w:rsid w:val="00AD6582"/>
    <w:rsid w:val="00AE72A7"/>
    <w:rsid w:val="00AF7D85"/>
    <w:rsid w:val="00B05723"/>
    <w:rsid w:val="00B12AAE"/>
    <w:rsid w:val="00B16DD8"/>
    <w:rsid w:val="00B23979"/>
    <w:rsid w:val="00B407DC"/>
    <w:rsid w:val="00B415A7"/>
    <w:rsid w:val="00B57DBC"/>
    <w:rsid w:val="00B63E62"/>
    <w:rsid w:val="00B673C4"/>
    <w:rsid w:val="00B70EA3"/>
    <w:rsid w:val="00B72BF6"/>
    <w:rsid w:val="00B903BA"/>
    <w:rsid w:val="00BB4B2E"/>
    <w:rsid w:val="00BC3274"/>
    <w:rsid w:val="00BC4578"/>
    <w:rsid w:val="00BD7048"/>
    <w:rsid w:val="00BE2D69"/>
    <w:rsid w:val="00BE3937"/>
    <w:rsid w:val="00BE421E"/>
    <w:rsid w:val="00BF37EA"/>
    <w:rsid w:val="00C14F09"/>
    <w:rsid w:val="00C1590A"/>
    <w:rsid w:val="00C37072"/>
    <w:rsid w:val="00C43AFD"/>
    <w:rsid w:val="00C47FCD"/>
    <w:rsid w:val="00C53584"/>
    <w:rsid w:val="00C5405F"/>
    <w:rsid w:val="00C554DF"/>
    <w:rsid w:val="00C571FE"/>
    <w:rsid w:val="00C627EC"/>
    <w:rsid w:val="00C70463"/>
    <w:rsid w:val="00C72232"/>
    <w:rsid w:val="00C73945"/>
    <w:rsid w:val="00C846F5"/>
    <w:rsid w:val="00C86457"/>
    <w:rsid w:val="00C96775"/>
    <w:rsid w:val="00CA6214"/>
    <w:rsid w:val="00CA7167"/>
    <w:rsid w:val="00CB1BFB"/>
    <w:rsid w:val="00CB3D4A"/>
    <w:rsid w:val="00CB40B0"/>
    <w:rsid w:val="00CB7416"/>
    <w:rsid w:val="00CB74AB"/>
    <w:rsid w:val="00CB78F1"/>
    <w:rsid w:val="00CB7CEB"/>
    <w:rsid w:val="00CD1DC2"/>
    <w:rsid w:val="00CD3CF9"/>
    <w:rsid w:val="00CD3EA3"/>
    <w:rsid w:val="00CD6821"/>
    <w:rsid w:val="00CD74EB"/>
    <w:rsid w:val="00CE331C"/>
    <w:rsid w:val="00CF39BB"/>
    <w:rsid w:val="00D000D3"/>
    <w:rsid w:val="00D04BF7"/>
    <w:rsid w:val="00D0539E"/>
    <w:rsid w:val="00D1530F"/>
    <w:rsid w:val="00D315B1"/>
    <w:rsid w:val="00D35914"/>
    <w:rsid w:val="00D42A93"/>
    <w:rsid w:val="00D459E9"/>
    <w:rsid w:val="00D82C2C"/>
    <w:rsid w:val="00D85FCF"/>
    <w:rsid w:val="00D877D6"/>
    <w:rsid w:val="00D90A72"/>
    <w:rsid w:val="00D9175D"/>
    <w:rsid w:val="00D921F6"/>
    <w:rsid w:val="00D92E1C"/>
    <w:rsid w:val="00D92E71"/>
    <w:rsid w:val="00D94A9B"/>
    <w:rsid w:val="00D96EAA"/>
    <w:rsid w:val="00D96FC6"/>
    <w:rsid w:val="00DB466B"/>
    <w:rsid w:val="00DB731C"/>
    <w:rsid w:val="00DC5E4D"/>
    <w:rsid w:val="00DC5EF7"/>
    <w:rsid w:val="00DE1F77"/>
    <w:rsid w:val="00DE3A1E"/>
    <w:rsid w:val="00DF44B0"/>
    <w:rsid w:val="00DF5544"/>
    <w:rsid w:val="00DF7AA8"/>
    <w:rsid w:val="00E03016"/>
    <w:rsid w:val="00E115F9"/>
    <w:rsid w:val="00E124E0"/>
    <w:rsid w:val="00E16D94"/>
    <w:rsid w:val="00E27715"/>
    <w:rsid w:val="00E316D8"/>
    <w:rsid w:val="00E37FF6"/>
    <w:rsid w:val="00E4679F"/>
    <w:rsid w:val="00E54AFD"/>
    <w:rsid w:val="00E6078D"/>
    <w:rsid w:val="00E6314F"/>
    <w:rsid w:val="00E71D80"/>
    <w:rsid w:val="00E76607"/>
    <w:rsid w:val="00E83384"/>
    <w:rsid w:val="00E93568"/>
    <w:rsid w:val="00EA2671"/>
    <w:rsid w:val="00EA6BFF"/>
    <w:rsid w:val="00EB0A21"/>
    <w:rsid w:val="00EB2F84"/>
    <w:rsid w:val="00EB4EE4"/>
    <w:rsid w:val="00EC3F66"/>
    <w:rsid w:val="00EC446D"/>
    <w:rsid w:val="00ED080C"/>
    <w:rsid w:val="00ED0DF0"/>
    <w:rsid w:val="00ED219A"/>
    <w:rsid w:val="00ED29E9"/>
    <w:rsid w:val="00ED2FD5"/>
    <w:rsid w:val="00ED4B4A"/>
    <w:rsid w:val="00EE28AF"/>
    <w:rsid w:val="00EE32A2"/>
    <w:rsid w:val="00EF4F07"/>
    <w:rsid w:val="00EF6758"/>
    <w:rsid w:val="00F06C02"/>
    <w:rsid w:val="00F12A8A"/>
    <w:rsid w:val="00F15DBC"/>
    <w:rsid w:val="00F17D28"/>
    <w:rsid w:val="00F21524"/>
    <w:rsid w:val="00F24158"/>
    <w:rsid w:val="00F2730F"/>
    <w:rsid w:val="00F35659"/>
    <w:rsid w:val="00F36ED5"/>
    <w:rsid w:val="00F4763E"/>
    <w:rsid w:val="00F519D5"/>
    <w:rsid w:val="00F57CDE"/>
    <w:rsid w:val="00F71EC7"/>
    <w:rsid w:val="00F805BA"/>
    <w:rsid w:val="00F91754"/>
    <w:rsid w:val="00F91ABA"/>
    <w:rsid w:val="00F975FB"/>
    <w:rsid w:val="00FB2127"/>
    <w:rsid w:val="00FC5520"/>
    <w:rsid w:val="00FD1C34"/>
    <w:rsid w:val="00FF0D85"/>
    <w:rsid w:val="016E7293"/>
    <w:rsid w:val="035E2BF3"/>
    <w:rsid w:val="06D55484"/>
    <w:rsid w:val="07922158"/>
    <w:rsid w:val="07D60267"/>
    <w:rsid w:val="08F91E06"/>
    <w:rsid w:val="0C684A5B"/>
    <w:rsid w:val="0D5E05A7"/>
    <w:rsid w:val="0E4A08BC"/>
    <w:rsid w:val="0F824086"/>
    <w:rsid w:val="103C5FE2"/>
    <w:rsid w:val="10593038"/>
    <w:rsid w:val="10F260A2"/>
    <w:rsid w:val="11131439"/>
    <w:rsid w:val="11357601"/>
    <w:rsid w:val="1550571B"/>
    <w:rsid w:val="162419F3"/>
    <w:rsid w:val="1BE77B2D"/>
    <w:rsid w:val="1CF245F9"/>
    <w:rsid w:val="1E3D13D2"/>
    <w:rsid w:val="20C52024"/>
    <w:rsid w:val="213868C4"/>
    <w:rsid w:val="21645399"/>
    <w:rsid w:val="22F97D63"/>
    <w:rsid w:val="2305495A"/>
    <w:rsid w:val="24E32A7A"/>
    <w:rsid w:val="27415356"/>
    <w:rsid w:val="276854B7"/>
    <w:rsid w:val="29FF6BC6"/>
    <w:rsid w:val="2A6B1546"/>
    <w:rsid w:val="2AF17EF7"/>
    <w:rsid w:val="2B9176D3"/>
    <w:rsid w:val="2D4F15F3"/>
    <w:rsid w:val="2DC07BFE"/>
    <w:rsid w:val="2DD46FD9"/>
    <w:rsid w:val="2F2919D0"/>
    <w:rsid w:val="317766A3"/>
    <w:rsid w:val="38F62E34"/>
    <w:rsid w:val="3FB2577A"/>
    <w:rsid w:val="41353B9F"/>
    <w:rsid w:val="43160791"/>
    <w:rsid w:val="46EF39AD"/>
    <w:rsid w:val="47FB57D2"/>
    <w:rsid w:val="48A24875"/>
    <w:rsid w:val="49134D90"/>
    <w:rsid w:val="4BE34F89"/>
    <w:rsid w:val="4E6D76D3"/>
    <w:rsid w:val="4E734052"/>
    <w:rsid w:val="4EEC23A6"/>
    <w:rsid w:val="4FE13ED5"/>
    <w:rsid w:val="50772144"/>
    <w:rsid w:val="507B1C43"/>
    <w:rsid w:val="50D2381E"/>
    <w:rsid w:val="525A7F6F"/>
    <w:rsid w:val="586C4558"/>
    <w:rsid w:val="5A845B89"/>
    <w:rsid w:val="5BE82147"/>
    <w:rsid w:val="5C3D2493"/>
    <w:rsid w:val="5DDB071C"/>
    <w:rsid w:val="5F21609C"/>
    <w:rsid w:val="643129BC"/>
    <w:rsid w:val="685748DD"/>
    <w:rsid w:val="685E2ABD"/>
    <w:rsid w:val="6A197970"/>
    <w:rsid w:val="6A696B49"/>
    <w:rsid w:val="6C895281"/>
    <w:rsid w:val="6CDF3370"/>
    <w:rsid w:val="6E83543F"/>
    <w:rsid w:val="73275372"/>
    <w:rsid w:val="7346211D"/>
    <w:rsid w:val="73A638E2"/>
    <w:rsid w:val="74116287"/>
    <w:rsid w:val="74E76FE8"/>
    <w:rsid w:val="78B96EEE"/>
    <w:rsid w:val="790E0FE8"/>
    <w:rsid w:val="7B56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numPr>
        <w:ilvl w:val="0"/>
        <w:numId w:val="1"/>
      </w:numPr>
      <w:spacing w:before="240" w:after="60"/>
      <w:outlineLvl w:val="0"/>
    </w:pPr>
    <w:rPr>
      <w:rFonts w:ascii="Futura Bk" w:hAnsi="Futura Bk" w:eastAsia="宋体"/>
      <w:b/>
      <w:kern w:val="28"/>
      <w:sz w:val="28"/>
    </w:rPr>
  </w:style>
  <w:style w:type="paragraph" w:styleId="3">
    <w:name w:val="heading 2"/>
    <w:basedOn w:val="1"/>
    <w:next w:val="1"/>
    <w:link w:val="21"/>
    <w:unhideWhenUsed/>
    <w:qFormat/>
    <w:uiPriority w:val="0"/>
    <w:pPr>
      <w:keepNext/>
      <w:numPr>
        <w:ilvl w:val="1"/>
        <w:numId w:val="1"/>
      </w:numPr>
      <w:spacing w:before="240" w:after="60"/>
      <w:outlineLvl w:val="1"/>
    </w:pPr>
    <w:rPr>
      <w:rFonts w:ascii="Futura Bk" w:hAnsi="Futura Bk" w:eastAsia="宋体"/>
      <w:b/>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Indent"/>
    <w:basedOn w:val="1"/>
    <w:link w:val="14"/>
    <w:qFormat/>
    <w:uiPriority w:val="0"/>
    <w:pPr>
      <w:spacing w:line="360" w:lineRule="auto"/>
      <w:ind w:left="130" w:leftChars="62" w:firstLine="390" w:firstLineChars="150"/>
    </w:pPr>
    <w:rPr>
      <w:rFonts w:ascii="宋体" w:hAnsi="Times New Roman" w:eastAsia="宋体" w:cs="Times New Roman"/>
      <w:spacing w:val="10"/>
      <w:sz w:val="24"/>
      <w:szCs w:val="20"/>
    </w:r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 w:type="character" w:customStyle="1" w:styleId="14">
    <w:name w:val="正文文本缩进 字符"/>
    <w:basedOn w:val="12"/>
    <w:link w:val="5"/>
    <w:qFormat/>
    <w:uiPriority w:val="0"/>
    <w:rPr>
      <w:rFonts w:ascii="宋体" w:hAnsi="Times New Roman" w:eastAsia="宋体" w:cs="Times New Roman"/>
      <w:spacing w:val="10"/>
      <w:sz w:val="24"/>
      <w:szCs w:val="20"/>
    </w:rPr>
  </w:style>
  <w:style w:type="paragraph" w:customStyle="1" w:styleId="15">
    <w:name w:val="列出段落1"/>
    <w:basedOn w:val="1"/>
    <w:qFormat/>
    <w:uiPriority w:val="34"/>
    <w:pPr>
      <w:ind w:firstLine="420" w:firstLineChars="200"/>
    </w:pPr>
    <w:rPr>
      <w:rFonts w:ascii="Times New Roman" w:hAnsi="Times New Roman" w:eastAsia="宋体" w:cs="Times New Roman"/>
      <w:snapToGrid w:val="0"/>
      <w:spacing w:val="-2"/>
      <w:kern w:val="0"/>
      <w:sz w:val="24"/>
      <w:szCs w:val="20"/>
    </w:rPr>
  </w:style>
  <w:style w:type="paragraph" w:customStyle="1" w:styleId="16">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styleId="17">
    <w:name w:val="List Paragraph"/>
    <w:basedOn w:val="1"/>
    <w:link w:val="22"/>
    <w:qFormat/>
    <w:uiPriority w:val="34"/>
    <w:pPr>
      <w:snapToGrid w:val="0"/>
      <w:ind w:firstLine="420" w:firstLineChars="200"/>
    </w:pPr>
    <w:rPr>
      <w:rFonts w:ascii="Times New Roman" w:hAnsi="Times New Roman" w:eastAsia="宋体" w:cs="Times New Roman"/>
      <w:spacing w:val="-2"/>
      <w:kern w:val="0"/>
      <w:sz w:val="24"/>
      <w:szCs w:val="20"/>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标题 1 字符"/>
    <w:basedOn w:val="12"/>
    <w:link w:val="2"/>
    <w:qFormat/>
    <w:uiPriority w:val="0"/>
    <w:rPr>
      <w:rFonts w:ascii="Futura Bk" w:hAnsi="Futura Bk" w:eastAsia="宋体"/>
      <w:b/>
      <w:kern w:val="28"/>
      <w:sz w:val="28"/>
    </w:rPr>
  </w:style>
  <w:style w:type="character" w:customStyle="1" w:styleId="21">
    <w:name w:val="标题 2 字符"/>
    <w:basedOn w:val="12"/>
    <w:link w:val="3"/>
    <w:qFormat/>
    <w:uiPriority w:val="0"/>
    <w:rPr>
      <w:rFonts w:ascii="Futura Bk" w:hAnsi="Futura Bk" w:eastAsia="宋体"/>
      <w:b/>
      <w:sz w:val="24"/>
    </w:rPr>
  </w:style>
  <w:style w:type="character" w:customStyle="1" w:styleId="22">
    <w:name w:val="列出段落 字符"/>
    <w:link w:val="17"/>
    <w:qFormat/>
    <w:uiPriority w:val="34"/>
    <w:rPr>
      <w:rFonts w:ascii="Times New Roman" w:hAnsi="Times New Roman" w:eastAsia="宋体" w:cs="Times New Roman"/>
      <w:spacing w:val="-2"/>
      <w:kern w:val="0"/>
      <w:sz w:val="24"/>
      <w:szCs w:val="20"/>
    </w:rPr>
  </w:style>
  <w:style w:type="character" w:customStyle="1" w:styleId="23">
    <w:name w:val="批注框文本 字符"/>
    <w:basedOn w:val="12"/>
    <w:link w:val="6"/>
    <w:semiHidden/>
    <w:qFormat/>
    <w:uiPriority w:val="99"/>
    <w:rPr>
      <w:sz w:val="18"/>
      <w:szCs w:val="18"/>
    </w:rPr>
  </w:style>
  <w:style w:type="character" w:customStyle="1" w:styleId="24">
    <w:name w:val="副标题 字符"/>
    <w:basedOn w:val="12"/>
    <w:link w:val="9"/>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Microsoft</Company>
  <Pages>13</Pages>
  <Words>1094</Words>
  <Characters>6241</Characters>
  <Lines>52</Lines>
  <Paragraphs>14</Paragraphs>
  <TotalTime>1</TotalTime>
  <ScaleCrop>false</ScaleCrop>
  <LinksUpToDate>false</LinksUpToDate>
  <CharactersWithSpaces>7321</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2017-05-11T01:28:00Z</dcterms:created>
  <dc:creator>lshwang</dc:creator>
  <cp:lastModifiedBy>吕蕾丝</cp:lastModifiedBy>
  <cp:lastPrinted>2017-03-01T05:56:00Z</cp:lastPrinted>
  <dcterms:modified xsi:type="dcterms:W3CDTF">2024-05-27T03:07:31Z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83BE3BA81B5B4E28B3AD3567870D381C_12</vt:lpwstr>
  </property>
</Properties>
</file>