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宋体" w:hAnsi="宋体" w:eastAsia="宋体" w:cs="Times New Roman"/>
          <w:b/>
          <w:snapToGrid w:val="0"/>
          <w:spacing w:val="-2"/>
          <w:kern w:val="0"/>
          <w:sz w:val="36"/>
          <w:szCs w:val="20"/>
          <w:highlight w:val="none"/>
        </w:rPr>
      </w:pPr>
      <w:r>
        <w:rPr>
          <w:rFonts w:hint="eastAsia" w:ascii="宋体" w:hAnsi="宋体" w:eastAsia="宋体" w:cs="Times New Roman"/>
          <w:b/>
          <w:snapToGrid w:val="0"/>
          <w:spacing w:val="-2"/>
          <w:kern w:val="0"/>
          <w:sz w:val="36"/>
          <w:szCs w:val="20"/>
          <w:highlight w:val="none"/>
        </w:rPr>
        <w:t>上海黄金交易所</w:t>
      </w:r>
    </w:p>
    <w:p>
      <w:pPr>
        <w:autoSpaceDE w:val="0"/>
        <w:autoSpaceDN w:val="0"/>
        <w:adjustRightInd w:val="0"/>
        <w:spacing w:line="360" w:lineRule="auto"/>
        <w:jc w:val="center"/>
        <w:rPr>
          <w:rFonts w:hint="eastAsia" w:ascii="宋体" w:hAnsi="宋体" w:eastAsia="宋体" w:cs="Times New Roman"/>
          <w:b/>
          <w:snapToGrid w:val="0"/>
          <w:spacing w:val="-2"/>
          <w:kern w:val="0"/>
          <w:sz w:val="36"/>
          <w:szCs w:val="20"/>
          <w:highlight w:val="none"/>
        </w:rPr>
      </w:pPr>
      <w:r>
        <w:rPr>
          <w:rFonts w:hint="eastAsia" w:ascii="宋体" w:hAnsi="宋体" w:eastAsia="宋体" w:cs="Times New Roman"/>
          <w:b/>
          <w:snapToGrid w:val="0"/>
          <w:spacing w:val="-2"/>
          <w:kern w:val="0"/>
          <w:sz w:val="36"/>
          <w:szCs w:val="20"/>
          <w:highlight w:val="none"/>
          <w:lang w:val="en-US" w:eastAsia="zh-CN"/>
        </w:rPr>
        <w:t>2024年</w:t>
      </w:r>
      <w:r>
        <w:rPr>
          <w:rFonts w:hint="eastAsia" w:ascii="宋体" w:hAnsi="宋体" w:eastAsia="宋体" w:cs="Times New Roman"/>
          <w:b/>
          <w:snapToGrid w:val="0"/>
          <w:spacing w:val="-2"/>
          <w:kern w:val="0"/>
          <w:sz w:val="36"/>
          <w:szCs w:val="20"/>
          <w:highlight w:val="none"/>
          <w:lang w:eastAsia="zh-CN"/>
        </w:rPr>
        <w:t>同城灾备时钟专用服务器</w:t>
      </w:r>
      <w:r>
        <w:rPr>
          <w:rFonts w:hint="eastAsia" w:ascii="宋体" w:hAnsi="宋体" w:eastAsia="宋体" w:cs="Times New Roman"/>
          <w:b/>
          <w:snapToGrid w:val="0"/>
          <w:spacing w:val="-2"/>
          <w:kern w:val="0"/>
          <w:sz w:val="36"/>
          <w:szCs w:val="20"/>
          <w:highlight w:val="none"/>
        </w:rPr>
        <w:t>采购书</w:t>
      </w:r>
    </w:p>
    <w:p>
      <w:pPr>
        <w:autoSpaceDE w:val="0"/>
        <w:autoSpaceDN w:val="0"/>
        <w:adjustRightInd w:val="0"/>
        <w:outlineLvl w:val="0"/>
        <w:rPr>
          <w:rFonts w:ascii="宋体" w:hAnsi="宋体" w:eastAsia="宋体" w:cs="黑体"/>
          <w:kern w:val="0"/>
          <w:sz w:val="28"/>
          <w:szCs w:val="28"/>
          <w:highlight w:val="none"/>
        </w:rPr>
      </w:pPr>
      <w:r>
        <w:rPr>
          <w:rFonts w:hint="eastAsia" w:ascii="宋体" w:hAnsi="宋体" w:eastAsia="宋体" w:cs="黑体"/>
          <w:kern w:val="0"/>
          <w:sz w:val="28"/>
          <w:szCs w:val="28"/>
          <w:highlight w:val="none"/>
        </w:rPr>
        <w:t>一、项目概况</w:t>
      </w:r>
    </w:p>
    <w:p>
      <w:pPr>
        <w:autoSpaceDE w:val="0"/>
        <w:autoSpaceDN w:val="0"/>
        <w:adjustRightInd w:val="0"/>
        <w:spacing w:line="360" w:lineRule="auto"/>
        <w:ind w:firstLine="480" w:firstLineChars="200"/>
        <w:rPr>
          <w:rFonts w:ascii="宋体" w:hAnsi="宋体" w:eastAsia="宋体" w:cs="宋体"/>
          <w:kern w:val="0"/>
          <w:sz w:val="24"/>
          <w:szCs w:val="24"/>
          <w:highlight w:val="none"/>
        </w:rPr>
      </w:pPr>
      <w:r>
        <w:rPr>
          <w:rFonts w:ascii="宋体" w:hAnsi="宋体" w:eastAsia="宋体" w:cs="宋体"/>
          <w:kern w:val="0"/>
          <w:sz w:val="24"/>
          <w:szCs w:val="24"/>
          <w:highlight w:val="none"/>
        </w:rPr>
        <w:t>1</w:t>
      </w:r>
      <w:r>
        <w:rPr>
          <w:rFonts w:hint="eastAsia" w:ascii="宋体" w:hAnsi="宋体" w:eastAsia="宋体" w:cs="宋体"/>
          <w:kern w:val="0"/>
          <w:sz w:val="24"/>
          <w:szCs w:val="24"/>
          <w:highlight w:val="none"/>
        </w:rPr>
        <w:t>、项目名称：</w:t>
      </w:r>
      <w:r>
        <w:rPr>
          <w:rFonts w:hint="eastAsia" w:ascii="宋体" w:hAnsi="宋体" w:eastAsia="宋体" w:cs="宋体"/>
          <w:kern w:val="0"/>
          <w:sz w:val="24"/>
          <w:szCs w:val="24"/>
          <w:highlight w:val="none"/>
          <w:lang w:val="en-US" w:eastAsia="zh-CN"/>
        </w:rPr>
        <w:t>2024年</w:t>
      </w:r>
      <w:r>
        <w:rPr>
          <w:rFonts w:hint="eastAsia" w:ascii="宋体" w:hAnsi="宋体" w:eastAsia="宋体" w:cs="宋体"/>
          <w:kern w:val="0"/>
          <w:sz w:val="24"/>
          <w:szCs w:val="24"/>
          <w:highlight w:val="none"/>
          <w:lang w:eastAsia="zh-CN"/>
        </w:rPr>
        <w:t>同城灾备时钟专用服务器</w:t>
      </w:r>
      <w:r>
        <w:rPr>
          <w:rFonts w:hint="eastAsia" w:ascii="宋体" w:hAnsi="宋体" w:eastAsia="宋体" w:cs="宋体"/>
          <w:kern w:val="0"/>
          <w:sz w:val="24"/>
          <w:szCs w:val="24"/>
          <w:highlight w:val="none"/>
        </w:rPr>
        <w:t>。</w:t>
      </w:r>
    </w:p>
    <w:p>
      <w:pPr>
        <w:autoSpaceDE w:val="0"/>
        <w:autoSpaceDN w:val="0"/>
        <w:adjustRightInd w:val="0"/>
        <w:spacing w:line="360" w:lineRule="auto"/>
        <w:ind w:firstLine="480" w:firstLineChars="200"/>
        <w:rPr>
          <w:rFonts w:ascii="宋体" w:hAnsi="宋体" w:eastAsia="宋体" w:cs="宋体"/>
          <w:kern w:val="0"/>
          <w:sz w:val="24"/>
          <w:szCs w:val="24"/>
          <w:highlight w:val="none"/>
        </w:rPr>
      </w:pPr>
      <w:r>
        <w:rPr>
          <w:rFonts w:ascii="宋体" w:hAnsi="宋体" w:eastAsia="宋体" w:cs="宋体"/>
          <w:kern w:val="0"/>
          <w:sz w:val="24"/>
          <w:szCs w:val="24"/>
          <w:highlight w:val="none"/>
        </w:rPr>
        <w:t>2</w:t>
      </w:r>
      <w:r>
        <w:rPr>
          <w:rFonts w:hint="eastAsia" w:ascii="宋体" w:hAnsi="宋体" w:eastAsia="宋体" w:cs="宋体"/>
          <w:kern w:val="0"/>
          <w:sz w:val="24"/>
          <w:szCs w:val="24"/>
          <w:highlight w:val="none"/>
        </w:rPr>
        <w:t>、采购</w:t>
      </w:r>
      <w:r>
        <w:rPr>
          <w:rFonts w:ascii="宋体" w:hAnsi="宋体" w:eastAsia="宋体" w:cs="宋体"/>
          <w:kern w:val="0"/>
          <w:sz w:val="24"/>
          <w:szCs w:val="24"/>
          <w:highlight w:val="none"/>
        </w:rPr>
        <w:t>需求</w:t>
      </w:r>
      <w:r>
        <w:rPr>
          <w:rFonts w:hint="eastAsia" w:ascii="宋体" w:hAnsi="宋体" w:eastAsia="宋体" w:cs="宋体"/>
          <w:kern w:val="0"/>
          <w:sz w:val="24"/>
          <w:szCs w:val="24"/>
          <w:highlight w:val="none"/>
        </w:rPr>
        <w:t>：见</w:t>
      </w:r>
      <w:r>
        <w:rPr>
          <w:rFonts w:ascii="宋体" w:hAnsi="宋体" w:eastAsia="宋体" w:cs="宋体"/>
          <w:kern w:val="0"/>
          <w:sz w:val="24"/>
          <w:szCs w:val="24"/>
          <w:highlight w:val="none"/>
        </w:rPr>
        <w:t>附件1</w:t>
      </w:r>
      <w:r>
        <w:rPr>
          <w:rFonts w:hint="eastAsia" w:ascii="宋体" w:hAnsi="宋体" w:eastAsia="宋体" w:cs="宋体"/>
          <w:kern w:val="0"/>
          <w:sz w:val="24"/>
          <w:szCs w:val="24"/>
          <w:highlight w:val="none"/>
        </w:rPr>
        <w:t>。</w:t>
      </w:r>
    </w:p>
    <w:p>
      <w:pPr>
        <w:autoSpaceDE w:val="0"/>
        <w:autoSpaceDN w:val="0"/>
        <w:adjustRightInd w:val="0"/>
        <w:spacing w:line="360"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3、投标</w:t>
      </w:r>
      <w:r>
        <w:rPr>
          <w:rFonts w:ascii="宋体" w:hAnsi="宋体" w:eastAsia="宋体" w:cs="宋体"/>
          <w:kern w:val="0"/>
          <w:sz w:val="24"/>
          <w:szCs w:val="24"/>
          <w:highlight w:val="none"/>
        </w:rPr>
        <w:t>金额</w:t>
      </w:r>
      <w:r>
        <w:rPr>
          <w:rFonts w:hint="eastAsia" w:ascii="宋体" w:hAnsi="宋体" w:eastAsia="宋体" w:cs="宋体"/>
          <w:kern w:val="0"/>
          <w:sz w:val="24"/>
          <w:szCs w:val="24"/>
          <w:highlight w:val="none"/>
        </w:rPr>
        <w:t>：小于</w:t>
      </w:r>
      <w:r>
        <w:rPr>
          <w:rFonts w:hint="eastAsia" w:ascii="宋体" w:hAnsi="宋体" w:eastAsia="宋体" w:cs="宋体"/>
          <w:kern w:val="0"/>
          <w:sz w:val="24"/>
          <w:szCs w:val="24"/>
          <w:highlight w:val="none"/>
          <w:lang w:val="en-US" w:eastAsia="zh-CN"/>
        </w:rPr>
        <w:t>39</w:t>
      </w:r>
      <w:r>
        <w:rPr>
          <w:rFonts w:hint="eastAsia" w:ascii="宋体" w:hAnsi="宋体" w:eastAsia="宋体" w:cs="宋体"/>
          <w:kern w:val="0"/>
          <w:sz w:val="24"/>
          <w:szCs w:val="24"/>
          <w:highlight w:val="none"/>
        </w:rPr>
        <w:t>万元人民币（含税</w:t>
      </w:r>
      <w:r>
        <w:rPr>
          <w:rFonts w:ascii="宋体" w:hAnsi="宋体" w:eastAsia="宋体" w:cs="宋体"/>
          <w:kern w:val="0"/>
          <w:sz w:val="24"/>
          <w:szCs w:val="24"/>
          <w:highlight w:val="none"/>
        </w:rPr>
        <w:t>）</w:t>
      </w:r>
      <w:r>
        <w:rPr>
          <w:rFonts w:hint="eastAsia" w:ascii="宋体" w:hAnsi="宋体" w:eastAsia="宋体" w:cs="宋体"/>
          <w:kern w:val="0"/>
          <w:sz w:val="24"/>
          <w:szCs w:val="24"/>
          <w:highlight w:val="none"/>
        </w:rPr>
        <w:t>。</w:t>
      </w:r>
    </w:p>
    <w:p>
      <w:pPr>
        <w:autoSpaceDE w:val="0"/>
        <w:autoSpaceDN w:val="0"/>
        <w:adjustRightInd w:val="0"/>
        <w:spacing w:line="360"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4、投标保证金金额：</w:t>
      </w:r>
      <w:r>
        <w:rPr>
          <w:rFonts w:ascii="宋体" w:hAnsi="宋体" w:eastAsia="宋体" w:cs="宋体"/>
          <w:kern w:val="0"/>
          <w:sz w:val="24"/>
          <w:szCs w:val="24"/>
          <w:highlight w:val="none"/>
        </w:rPr>
        <w:t>7000</w:t>
      </w:r>
      <w:r>
        <w:rPr>
          <w:rFonts w:hint="eastAsia" w:ascii="宋体" w:hAnsi="宋体" w:eastAsia="宋体" w:cs="宋体"/>
          <w:kern w:val="0"/>
          <w:sz w:val="24"/>
          <w:szCs w:val="24"/>
          <w:highlight w:val="none"/>
        </w:rPr>
        <w:t>元人民币（</w:t>
      </w:r>
      <w:r>
        <w:rPr>
          <w:rFonts w:ascii="宋体" w:hAnsi="宋体" w:cs="宋体"/>
          <w:kern w:val="0"/>
          <w:sz w:val="24"/>
          <w:highlight w:val="none"/>
        </w:rPr>
        <w:t>有效期与投标有效期一致</w:t>
      </w:r>
      <w:r>
        <w:rPr>
          <w:rFonts w:hint="eastAsia" w:ascii="宋体" w:hAnsi="宋体" w:eastAsia="宋体" w:cs="宋体"/>
          <w:kern w:val="0"/>
          <w:sz w:val="24"/>
          <w:szCs w:val="24"/>
          <w:highlight w:val="none"/>
        </w:rPr>
        <w:t>）。</w:t>
      </w:r>
    </w:p>
    <w:p>
      <w:pPr>
        <w:autoSpaceDE w:val="0"/>
        <w:autoSpaceDN w:val="0"/>
        <w:adjustRightInd w:val="0"/>
        <w:spacing w:line="360" w:lineRule="auto"/>
        <w:ind w:firstLine="482" w:firstLineChars="200"/>
        <w:rPr>
          <w:rFonts w:ascii="宋体" w:hAnsi="宋体" w:eastAsia="宋体" w:cs="宋体"/>
          <w:kern w:val="0"/>
          <w:sz w:val="24"/>
          <w:szCs w:val="24"/>
          <w:highlight w:val="none"/>
        </w:rPr>
      </w:pPr>
      <w:r>
        <w:rPr>
          <w:rFonts w:hint="eastAsia" w:ascii="宋体" w:hAnsi="宋体" w:eastAsia="宋体" w:cs="宋体"/>
          <w:b/>
          <w:kern w:val="0"/>
          <w:sz w:val="24"/>
          <w:szCs w:val="24"/>
          <w:highlight w:val="none"/>
        </w:rPr>
        <w:t>注意</w:t>
      </w:r>
      <w:r>
        <w:rPr>
          <w:rFonts w:hint="eastAsia" w:ascii="宋体" w:hAnsi="宋体" w:eastAsia="宋体" w:cs="宋体"/>
          <w:kern w:val="0"/>
          <w:sz w:val="24"/>
          <w:szCs w:val="24"/>
          <w:highlight w:val="none"/>
        </w:rPr>
        <w:t>：</w:t>
      </w:r>
      <w:r>
        <w:rPr>
          <w:rFonts w:hint="eastAsia" w:ascii="宋体" w:hAnsi="宋体" w:eastAsia="宋体" w:cs="宋体"/>
          <w:b/>
          <w:kern w:val="0"/>
          <w:sz w:val="24"/>
          <w:szCs w:val="24"/>
          <w:highlight w:val="none"/>
        </w:rPr>
        <w:t>投标人递交的投标文件中应附有投标保证金的付款有效凭证复印件，投标保证金应当从投标人的基本账户转出，并写明账户信息，如开户行以及账号等，并在银行付款备注栏中注明该投标保证金所对应的项目名称。</w:t>
      </w:r>
    </w:p>
    <w:p>
      <w:pPr>
        <w:autoSpaceDE w:val="0"/>
        <w:autoSpaceDN w:val="0"/>
        <w:adjustRightInd w:val="0"/>
        <w:spacing w:line="360"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5</w:t>
      </w:r>
      <w:r>
        <w:rPr>
          <w:rFonts w:ascii="宋体" w:hAnsi="宋体" w:eastAsia="宋体" w:cs="宋体"/>
          <w:kern w:val="0"/>
          <w:sz w:val="24"/>
          <w:szCs w:val="24"/>
          <w:highlight w:val="none"/>
        </w:rPr>
        <w:t>、中标方式：</w:t>
      </w:r>
      <w:r>
        <w:rPr>
          <w:rFonts w:hint="eastAsia" w:ascii="宋体" w:hAnsi="宋体" w:eastAsia="宋体" w:cs="宋体"/>
          <w:kern w:val="0"/>
          <w:sz w:val="24"/>
          <w:szCs w:val="24"/>
          <w:highlight w:val="none"/>
        </w:rPr>
        <w:t>根据本采购书“评分</w:t>
      </w:r>
      <w:r>
        <w:rPr>
          <w:rFonts w:ascii="宋体" w:hAnsi="宋体" w:eastAsia="宋体" w:cs="宋体"/>
          <w:kern w:val="0"/>
          <w:sz w:val="24"/>
          <w:szCs w:val="24"/>
          <w:highlight w:val="none"/>
        </w:rPr>
        <w:t>标准”</w:t>
      </w:r>
      <w:r>
        <w:rPr>
          <w:rFonts w:hint="eastAsia" w:ascii="宋体" w:hAnsi="宋体" w:eastAsia="宋体" w:cs="宋体"/>
          <w:kern w:val="0"/>
          <w:sz w:val="24"/>
          <w:szCs w:val="24"/>
          <w:highlight w:val="none"/>
        </w:rPr>
        <w:t>对</w:t>
      </w:r>
      <w:r>
        <w:rPr>
          <w:rFonts w:ascii="宋体" w:hAnsi="宋体" w:eastAsia="宋体" w:cs="宋体"/>
          <w:kern w:val="0"/>
          <w:sz w:val="24"/>
          <w:szCs w:val="24"/>
          <w:highlight w:val="none"/>
        </w:rPr>
        <w:t>各</w:t>
      </w:r>
      <w:r>
        <w:rPr>
          <w:rFonts w:hint="eastAsia" w:ascii="宋体" w:hAnsi="宋体" w:eastAsia="宋体" w:cs="宋体"/>
          <w:kern w:val="0"/>
          <w:sz w:val="24"/>
          <w:szCs w:val="24"/>
          <w:highlight w:val="none"/>
        </w:rPr>
        <w:t>投标文件</w:t>
      </w:r>
      <w:r>
        <w:rPr>
          <w:rFonts w:ascii="宋体" w:hAnsi="宋体" w:eastAsia="宋体" w:cs="宋体"/>
          <w:kern w:val="0"/>
          <w:sz w:val="24"/>
          <w:szCs w:val="24"/>
          <w:highlight w:val="none"/>
        </w:rPr>
        <w:t>进行评分，</w:t>
      </w:r>
      <w:r>
        <w:rPr>
          <w:rFonts w:hint="eastAsia" w:ascii="宋体" w:hAnsi="宋体" w:eastAsia="宋体" w:cs="宋体"/>
          <w:kern w:val="0"/>
          <w:sz w:val="24"/>
          <w:szCs w:val="24"/>
          <w:highlight w:val="none"/>
        </w:rPr>
        <w:t>总分</w:t>
      </w:r>
      <w:r>
        <w:rPr>
          <w:rFonts w:ascii="宋体" w:hAnsi="宋体" w:eastAsia="宋体" w:cs="宋体"/>
          <w:kern w:val="0"/>
          <w:sz w:val="24"/>
          <w:szCs w:val="24"/>
          <w:highlight w:val="none"/>
        </w:rPr>
        <w:t>最高</w:t>
      </w:r>
      <w:r>
        <w:rPr>
          <w:rFonts w:hint="eastAsia" w:ascii="宋体" w:hAnsi="宋体" w:eastAsia="宋体" w:cs="宋体"/>
          <w:kern w:val="0"/>
          <w:sz w:val="24"/>
          <w:szCs w:val="24"/>
          <w:highlight w:val="none"/>
        </w:rPr>
        <w:t>的投标人为</w:t>
      </w:r>
      <w:r>
        <w:rPr>
          <w:rFonts w:ascii="宋体" w:hAnsi="宋体" w:eastAsia="宋体" w:cs="宋体"/>
          <w:kern w:val="0"/>
          <w:sz w:val="24"/>
          <w:szCs w:val="24"/>
          <w:highlight w:val="none"/>
        </w:rPr>
        <w:t>第一中标</w:t>
      </w:r>
      <w:r>
        <w:rPr>
          <w:rFonts w:hint="eastAsia" w:ascii="宋体" w:hAnsi="宋体" w:eastAsia="宋体" w:cs="宋体"/>
          <w:kern w:val="0"/>
          <w:sz w:val="24"/>
          <w:szCs w:val="24"/>
          <w:highlight w:val="none"/>
        </w:rPr>
        <w:t>候选人</w:t>
      </w:r>
      <w:r>
        <w:rPr>
          <w:rFonts w:ascii="宋体" w:hAnsi="宋体" w:eastAsia="宋体" w:cs="宋体"/>
          <w:kern w:val="0"/>
          <w:sz w:val="24"/>
          <w:szCs w:val="24"/>
          <w:highlight w:val="none"/>
        </w:rPr>
        <w:t>，得分</w:t>
      </w:r>
      <w:r>
        <w:rPr>
          <w:rFonts w:hint="eastAsia" w:ascii="宋体" w:hAnsi="宋体" w:eastAsia="宋体" w:cs="宋体"/>
          <w:kern w:val="0"/>
          <w:sz w:val="24"/>
          <w:szCs w:val="24"/>
          <w:highlight w:val="none"/>
        </w:rPr>
        <w:t>并列</w:t>
      </w:r>
      <w:r>
        <w:rPr>
          <w:rFonts w:ascii="宋体" w:hAnsi="宋体" w:eastAsia="宋体" w:cs="宋体"/>
          <w:kern w:val="0"/>
          <w:sz w:val="24"/>
          <w:szCs w:val="24"/>
          <w:highlight w:val="none"/>
        </w:rPr>
        <w:t>的，</w:t>
      </w:r>
      <w:r>
        <w:rPr>
          <w:rFonts w:hint="eastAsia" w:ascii="宋体" w:hAnsi="宋体" w:eastAsia="宋体" w:cs="宋体"/>
          <w:kern w:val="0"/>
          <w:sz w:val="24"/>
          <w:szCs w:val="24"/>
          <w:highlight w:val="none"/>
        </w:rPr>
        <w:t>以投标价格较低的投标人为第一中标候选人，价格相同的则以随机方式抽取第一中标候选人</w:t>
      </w:r>
      <w:r>
        <w:rPr>
          <w:rFonts w:ascii="宋体" w:hAnsi="宋体" w:eastAsia="宋体" w:cs="宋体"/>
          <w:kern w:val="0"/>
          <w:sz w:val="24"/>
          <w:szCs w:val="24"/>
          <w:highlight w:val="none"/>
        </w:rPr>
        <w:t>。</w:t>
      </w:r>
    </w:p>
    <w:p>
      <w:pPr>
        <w:autoSpaceDE w:val="0"/>
        <w:autoSpaceDN w:val="0"/>
        <w:adjustRightInd w:val="0"/>
        <w:spacing w:before="100" w:beforeAutospacing="1" w:line="360" w:lineRule="auto"/>
        <w:outlineLvl w:val="0"/>
        <w:rPr>
          <w:rFonts w:ascii="宋体" w:hAnsi="宋体" w:eastAsia="宋体" w:cs="黑体"/>
          <w:kern w:val="0"/>
          <w:sz w:val="28"/>
          <w:szCs w:val="28"/>
          <w:highlight w:val="none"/>
        </w:rPr>
      </w:pPr>
      <w:r>
        <w:rPr>
          <w:rFonts w:hint="eastAsia" w:ascii="宋体" w:hAnsi="宋体" w:eastAsia="宋体" w:cs="黑体"/>
          <w:kern w:val="0"/>
          <w:sz w:val="28"/>
          <w:szCs w:val="28"/>
          <w:highlight w:val="none"/>
        </w:rPr>
        <w:t>二、商务要求</w:t>
      </w:r>
    </w:p>
    <w:p>
      <w:pPr>
        <w:autoSpaceDE w:val="0"/>
        <w:autoSpaceDN w:val="0"/>
        <w:adjustRightInd w:val="0"/>
        <w:spacing w:line="360"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1、投标人必须是在国内注册的独立法人或其他组织，提供营业执照（或事业单位、社会团体相关证书）的复印件（并加盖公章）。</w:t>
      </w:r>
    </w:p>
    <w:p>
      <w:pPr>
        <w:autoSpaceDE w:val="0"/>
        <w:autoSpaceDN w:val="0"/>
        <w:adjustRightInd w:val="0"/>
        <w:spacing w:line="360" w:lineRule="auto"/>
        <w:ind w:firstLine="480" w:firstLineChars="200"/>
        <w:rPr>
          <w:rFonts w:ascii="宋体" w:hAnsi="宋体" w:eastAsia="宋体" w:cs="宋体"/>
          <w:kern w:val="0"/>
          <w:sz w:val="24"/>
          <w:szCs w:val="24"/>
          <w:highlight w:val="none"/>
        </w:rPr>
      </w:pPr>
      <w:bookmarkStart w:id="0" w:name="_Hlk517275196"/>
      <w:r>
        <w:rPr>
          <w:rFonts w:hint="eastAsia" w:ascii="宋体" w:hAnsi="宋体" w:eastAsia="宋体" w:cs="宋体"/>
          <w:kern w:val="0"/>
          <w:sz w:val="24"/>
          <w:szCs w:val="24"/>
          <w:highlight w:val="none"/>
        </w:rPr>
        <w:t>2、投标人必须能够提供上海本地化技术支持和服务。</w:t>
      </w:r>
    </w:p>
    <w:p>
      <w:pPr>
        <w:autoSpaceDE w:val="0"/>
        <w:autoSpaceDN w:val="0"/>
        <w:adjustRightInd w:val="0"/>
        <w:spacing w:line="360" w:lineRule="auto"/>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3</w:t>
      </w:r>
      <w:r>
        <w:rPr>
          <w:rFonts w:ascii="宋体" w:hAnsi="宋体" w:eastAsia="宋体" w:cs="宋体"/>
          <w:kern w:val="0"/>
          <w:sz w:val="24"/>
          <w:szCs w:val="24"/>
          <w:highlight w:val="none"/>
        </w:rPr>
        <w:t>、</w:t>
      </w:r>
      <w:r>
        <w:rPr>
          <w:rFonts w:hint="eastAsia" w:ascii="宋体" w:hAnsi="宋体" w:eastAsia="宋体" w:cs="宋体"/>
          <w:kern w:val="0"/>
          <w:sz w:val="24"/>
          <w:szCs w:val="24"/>
          <w:highlight w:val="none"/>
        </w:rPr>
        <w:t>投标人可为原厂或产品代理商，如代理商投标，则须提供投标产品一年</w:t>
      </w:r>
      <w:r>
        <w:rPr>
          <w:rFonts w:hint="eastAsia" w:ascii="宋体" w:hAnsi="宋体" w:eastAsia="宋体" w:cs="宋体"/>
          <w:kern w:val="0"/>
          <w:sz w:val="24"/>
          <w:szCs w:val="24"/>
          <w:highlight w:val="none"/>
          <w:lang w:eastAsia="zh-CN"/>
        </w:rPr>
        <w:t>及</w:t>
      </w:r>
      <w:r>
        <w:rPr>
          <w:rFonts w:hint="eastAsia" w:ascii="宋体" w:hAnsi="宋体" w:eastAsia="宋体" w:cs="宋体"/>
          <w:kern w:val="0"/>
          <w:sz w:val="24"/>
          <w:szCs w:val="24"/>
          <w:highlight w:val="none"/>
        </w:rPr>
        <w:t>以上的有效代理资质</w:t>
      </w:r>
      <w:r>
        <w:rPr>
          <w:rFonts w:hint="eastAsia" w:ascii="宋体" w:hAnsi="宋体" w:eastAsia="宋体" w:cs="宋体"/>
          <w:kern w:val="0"/>
          <w:sz w:val="24"/>
          <w:szCs w:val="24"/>
          <w:highlight w:val="none"/>
          <w:lang w:eastAsia="zh-CN"/>
        </w:rPr>
        <w:t>证明</w:t>
      </w:r>
      <w:r>
        <w:rPr>
          <w:rFonts w:hint="eastAsia" w:ascii="宋体" w:hAnsi="宋体" w:eastAsia="宋体" w:cs="宋体"/>
          <w:kern w:val="0"/>
          <w:sz w:val="24"/>
          <w:szCs w:val="24"/>
          <w:highlight w:val="none"/>
        </w:rPr>
        <w:t>（如有必要可提供多份连续的代理资质证明文件，若所投产品的原厂无发放代理资质的政策，投标人须提供说明函并加盖公章）。</w:t>
      </w:r>
    </w:p>
    <w:p>
      <w:pPr>
        <w:autoSpaceDE w:val="0"/>
        <w:autoSpaceDN w:val="0"/>
        <w:adjustRightInd w:val="0"/>
        <w:spacing w:line="360" w:lineRule="auto"/>
        <w:ind w:firstLine="480" w:firstLineChars="200"/>
        <w:rPr>
          <w:rFonts w:ascii="宋体" w:hAnsi="宋体" w:eastAsia="宋体" w:cs="宋体"/>
          <w:kern w:val="0"/>
          <w:sz w:val="24"/>
          <w:szCs w:val="24"/>
          <w:highlight w:val="none"/>
        </w:rPr>
      </w:pPr>
      <w:r>
        <w:rPr>
          <w:rFonts w:ascii="宋体" w:hAnsi="宋体" w:eastAsia="宋体" w:cs="宋体"/>
          <w:kern w:val="0"/>
          <w:sz w:val="24"/>
          <w:szCs w:val="24"/>
          <w:highlight w:val="none"/>
        </w:rPr>
        <w:t>4</w:t>
      </w:r>
      <w:r>
        <w:rPr>
          <w:rFonts w:hint="eastAsia" w:ascii="宋体" w:hAnsi="宋体" w:eastAsia="宋体" w:cs="宋体"/>
          <w:kern w:val="0"/>
          <w:sz w:val="24"/>
          <w:szCs w:val="24"/>
          <w:highlight w:val="none"/>
        </w:rPr>
        <w:t>、投标人承诺，</w:t>
      </w:r>
      <w:r>
        <w:rPr>
          <w:rFonts w:ascii="宋体" w:hAnsi="宋体" w:eastAsia="宋体" w:cs="宋体"/>
          <w:kern w:val="0"/>
          <w:sz w:val="24"/>
          <w:szCs w:val="24"/>
          <w:highlight w:val="none"/>
        </w:rPr>
        <w:t>若中标，</w:t>
      </w:r>
      <w:r>
        <w:rPr>
          <w:rFonts w:hint="eastAsia" w:ascii="宋体" w:hAnsi="宋体" w:eastAsia="宋体" w:cs="宋体"/>
          <w:kern w:val="0"/>
          <w:sz w:val="24"/>
          <w:szCs w:val="24"/>
          <w:highlight w:val="none"/>
        </w:rPr>
        <w:t>则无条件配合招标人完成“中国网络安全审查技术与认证中心”的网络安全审查并提供审查所需材料，中标人的产品和服务须通过“中国网络安全审查技术与认证中心”的网络安全审查，若未通过，合同失效（须提供承诺书并加盖投标人公章）。</w:t>
      </w:r>
    </w:p>
    <w:p>
      <w:pPr>
        <w:autoSpaceDE w:val="0"/>
        <w:autoSpaceDN w:val="0"/>
        <w:adjustRightInd w:val="0"/>
        <w:spacing w:line="360" w:lineRule="auto"/>
        <w:ind w:firstLine="480" w:firstLineChars="200"/>
        <w:rPr>
          <w:rFonts w:ascii="宋体" w:hAnsi="宋体" w:eastAsia="宋体" w:cs="宋体"/>
          <w:kern w:val="0"/>
          <w:sz w:val="24"/>
          <w:szCs w:val="24"/>
          <w:highlight w:val="none"/>
        </w:rPr>
      </w:pPr>
      <w:r>
        <w:rPr>
          <w:rFonts w:ascii="宋体" w:hAnsi="宋体" w:eastAsia="宋体" w:cs="宋体"/>
          <w:kern w:val="0"/>
          <w:sz w:val="24"/>
          <w:szCs w:val="24"/>
          <w:highlight w:val="none"/>
        </w:rPr>
        <w:t>5</w:t>
      </w:r>
      <w:r>
        <w:rPr>
          <w:rFonts w:hint="eastAsia" w:ascii="宋体" w:hAnsi="宋体" w:eastAsia="宋体" w:cs="宋体"/>
          <w:kern w:val="0"/>
          <w:sz w:val="24"/>
          <w:szCs w:val="24"/>
          <w:highlight w:val="none"/>
        </w:rPr>
        <w:t>、投标人除提交投标总价外，须提供明细价格。</w:t>
      </w:r>
    </w:p>
    <w:p>
      <w:pPr>
        <w:autoSpaceDE w:val="0"/>
        <w:autoSpaceDN w:val="0"/>
        <w:adjustRightInd w:val="0"/>
        <w:spacing w:line="360" w:lineRule="auto"/>
        <w:ind w:firstLine="480" w:firstLineChars="200"/>
        <w:rPr>
          <w:rFonts w:ascii="宋体" w:hAnsi="宋体" w:eastAsia="宋体" w:cs="宋体"/>
          <w:kern w:val="0"/>
          <w:sz w:val="24"/>
          <w:szCs w:val="24"/>
          <w:highlight w:val="none"/>
        </w:rPr>
      </w:pPr>
      <w:r>
        <w:rPr>
          <w:rFonts w:ascii="宋体" w:hAnsi="宋体" w:eastAsia="宋体" w:cs="宋体"/>
          <w:kern w:val="0"/>
          <w:sz w:val="24"/>
          <w:szCs w:val="24"/>
          <w:highlight w:val="none"/>
        </w:rPr>
        <w:t>6</w:t>
      </w:r>
      <w:r>
        <w:rPr>
          <w:rFonts w:hint="eastAsia" w:ascii="宋体" w:hAnsi="宋体" w:eastAsia="宋体" w:cs="宋体"/>
          <w:kern w:val="0"/>
          <w:sz w:val="24"/>
          <w:szCs w:val="24"/>
          <w:highlight w:val="none"/>
        </w:rPr>
        <w:t>、付款方式：中标人需须开具增值税专用发票，并接受以下付款方式：</w:t>
      </w:r>
    </w:p>
    <w:p>
      <w:pPr>
        <w:autoSpaceDE w:val="0"/>
        <w:autoSpaceDN w:val="0"/>
        <w:adjustRightInd w:val="0"/>
        <w:spacing w:line="360"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（1）合同签订后，支付合同总金额的30%；</w:t>
      </w:r>
    </w:p>
    <w:p>
      <w:pPr>
        <w:autoSpaceDE w:val="0"/>
        <w:autoSpaceDN w:val="0"/>
        <w:adjustRightInd w:val="0"/>
        <w:spacing w:line="360"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（2）设备到货后，安装清点并加电无故障，支付合同总金额的40%，</w:t>
      </w:r>
    </w:p>
    <w:p>
      <w:pPr>
        <w:autoSpaceDE w:val="0"/>
        <w:autoSpaceDN w:val="0"/>
        <w:adjustRightInd w:val="0"/>
        <w:spacing w:line="360"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（3）</w:t>
      </w:r>
      <w:bookmarkStart w:id="1" w:name="_Hlk536003655"/>
      <w:r>
        <w:rPr>
          <w:rFonts w:hint="eastAsia" w:ascii="宋体" w:hAnsi="宋体" w:eastAsia="宋体" w:cs="宋体"/>
          <w:kern w:val="0"/>
          <w:sz w:val="24"/>
          <w:szCs w:val="24"/>
          <w:highlight w:val="none"/>
        </w:rPr>
        <w:t>设备验收合格后上线，原厂服务生效（提供原厂服务生效证明）并验收无误后，</w:t>
      </w:r>
      <w:bookmarkEnd w:id="1"/>
      <w:r>
        <w:rPr>
          <w:rFonts w:hint="eastAsia" w:ascii="宋体" w:hAnsi="宋体" w:eastAsia="宋体" w:cs="宋体"/>
          <w:kern w:val="0"/>
          <w:sz w:val="24"/>
          <w:szCs w:val="24"/>
          <w:highlight w:val="none"/>
        </w:rPr>
        <w:t>支付合同总金额的20%；</w:t>
      </w:r>
    </w:p>
    <w:p>
      <w:pPr>
        <w:autoSpaceDE w:val="0"/>
        <w:autoSpaceDN w:val="0"/>
        <w:adjustRightInd w:val="0"/>
        <w:spacing w:line="360"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（4）服务满一年，支付合同总金额的5%；</w:t>
      </w:r>
    </w:p>
    <w:p>
      <w:pPr>
        <w:autoSpaceDE w:val="0"/>
        <w:autoSpaceDN w:val="0"/>
        <w:adjustRightInd w:val="0"/>
        <w:spacing w:line="360"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（5）方式A：中标人开具为期2年，金额为合同总金额5%的银行保函后（保函受益人为上海黄金交易所，且不可撤销），支付合同总金额的5%；方式B：三年维保到期后，支付合同总金额剩余的5%</w:t>
      </w:r>
      <w:r>
        <w:rPr>
          <w:rFonts w:hint="eastAsia" w:ascii="宋体" w:hAnsi="宋体" w:cs="宋体"/>
          <w:kern w:val="0"/>
          <w:sz w:val="24"/>
          <w:highlight w:val="none"/>
        </w:rPr>
        <w:t>（A,B二选一）</w:t>
      </w:r>
      <w:r>
        <w:rPr>
          <w:rFonts w:hint="eastAsia" w:ascii="宋体" w:hAnsi="宋体" w:eastAsia="宋体" w:cs="宋体"/>
          <w:kern w:val="0"/>
          <w:sz w:val="24"/>
          <w:szCs w:val="24"/>
          <w:highlight w:val="none"/>
        </w:rPr>
        <w:t>。</w:t>
      </w:r>
    </w:p>
    <w:bookmarkEnd w:id="0"/>
    <w:p>
      <w:pPr>
        <w:autoSpaceDE w:val="0"/>
        <w:autoSpaceDN w:val="0"/>
        <w:adjustRightInd w:val="0"/>
        <w:spacing w:line="360" w:lineRule="auto"/>
        <w:ind w:firstLine="480" w:firstLineChars="200"/>
        <w:rPr>
          <w:rFonts w:hint="eastAsia" w:ascii="宋体" w:hAnsi="宋体" w:eastAsia="宋体" w:cs="宋体"/>
          <w:kern w:val="0"/>
          <w:sz w:val="24"/>
          <w:szCs w:val="24"/>
          <w:highlight w:val="none"/>
        </w:rPr>
      </w:pPr>
      <w:r>
        <w:rPr>
          <w:rFonts w:ascii="宋体" w:hAnsi="宋体" w:eastAsia="宋体" w:cs="宋体"/>
          <w:kern w:val="0"/>
          <w:sz w:val="24"/>
          <w:szCs w:val="24"/>
          <w:highlight w:val="none"/>
        </w:rPr>
        <w:t>7</w:t>
      </w:r>
      <w:r>
        <w:rPr>
          <w:rFonts w:hint="eastAsia" w:ascii="宋体" w:hAnsi="宋体" w:eastAsia="宋体" w:cs="宋体"/>
          <w:kern w:val="0"/>
          <w:sz w:val="24"/>
          <w:szCs w:val="24"/>
          <w:highlight w:val="none"/>
        </w:rPr>
        <w:t>、投标金额为含税金额，包括安装服务（如有）和产品出售的所有税费</w:t>
      </w:r>
      <w:r>
        <w:rPr>
          <w:rFonts w:hint="eastAsia" w:ascii="宋体" w:hAnsi="宋体" w:eastAsia="宋体" w:cs="宋体"/>
          <w:kern w:val="0"/>
          <w:sz w:val="24"/>
          <w:szCs w:val="24"/>
          <w:highlight w:val="none"/>
          <w:lang w:eastAsia="zh-CN"/>
        </w:rPr>
        <w:t>，服务费无需单独报价</w:t>
      </w:r>
      <w:r>
        <w:rPr>
          <w:rFonts w:hint="eastAsia" w:ascii="宋体" w:hAnsi="宋体" w:eastAsia="宋体" w:cs="宋体"/>
          <w:kern w:val="0"/>
          <w:sz w:val="24"/>
          <w:szCs w:val="24"/>
          <w:highlight w:val="none"/>
        </w:rPr>
        <w:t>。</w:t>
      </w:r>
    </w:p>
    <w:p>
      <w:pPr>
        <w:autoSpaceDE w:val="0"/>
        <w:autoSpaceDN w:val="0"/>
        <w:adjustRightInd w:val="0"/>
        <w:spacing w:line="360" w:lineRule="auto"/>
        <w:ind w:firstLine="480" w:firstLineChars="200"/>
        <w:rPr>
          <w:rFonts w:ascii="宋体" w:hAnsi="宋体" w:eastAsia="宋体" w:cs="宋体"/>
          <w:kern w:val="0"/>
          <w:sz w:val="24"/>
          <w:szCs w:val="24"/>
          <w:highlight w:val="none"/>
        </w:rPr>
      </w:pPr>
      <w:r>
        <w:rPr>
          <w:rFonts w:ascii="宋体" w:hAnsi="宋体" w:eastAsia="宋体" w:cs="宋体"/>
          <w:kern w:val="0"/>
          <w:sz w:val="24"/>
          <w:szCs w:val="24"/>
          <w:highlight w:val="none"/>
        </w:rPr>
        <w:t>8</w:t>
      </w:r>
      <w:r>
        <w:rPr>
          <w:rFonts w:hint="eastAsia" w:ascii="宋体" w:hAnsi="宋体" w:eastAsia="宋体" w:cs="宋体"/>
          <w:kern w:val="0"/>
          <w:sz w:val="24"/>
          <w:szCs w:val="24"/>
          <w:highlight w:val="none"/>
        </w:rPr>
        <w:t>、投标人须提交投标保证金，投标文件中应附有投标保证金的付款有效凭证复印件。</w:t>
      </w:r>
    </w:p>
    <w:p>
      <w:pPr>
        <w:autoSpaceDE w:val="0"/>
        <w:autoSpaceDN w:val="0"/>
        <w:adjustRightInd w:val="0"/>
        <w:spacing w:line="360" w:lineRule="auto"/>
        <w:ind w:firstLine="480" w:firstLineChars="200"/>
        <w:rPr>
          <w:rFonts w:ascii="宋体" w:hAnsi="宋体" w:eastAsia="宋体" w:cs="宋体"/>
          <w:kern w:val="0"/>
          <w:sz w:val="24"/>
          <w:szCs w:val="24"/>
          <w:highlight w:val="none"/>
        </w:rPr>
      </w:pPr>
      <w:r>
        <w:rPr>
          <w:rFonts w:ascii="宋体" w:hAnsi="宋体" w:eastAsia="宋体" w:cs="宋体"/>
          <w:kern w:val="0"/>
          <w:sz w:val="24"/>
          <w:szCs w:val="24"/>
          <w:highlight w:val="none"/>
        </w:rPr>
        <w:t>9</w:t>
      </w:r>
      <w:r>
        <w:rPr>
          <w:rFonts w:hint="eastAsia" w:ascii="宋体" w:hAnsi="宋体" w:eastAsia="宋体" w:cs="宋体"/>
          <w:kern w:val="0"/>
          <w:sz w:val="24"/>
          <w:szCs w:val="24"/>
          <w:highlight w:val="none"/>
        </w:rPr>
        <w:t>、</w:t>
      </w:r>
      <w:r>
        <w:rPr>
          <w:rFonts w:ascii="宋体" w:hAnsi="宋体" w:eastAsia="宋体" w:cs="宋体"/>
          <w:kern w:val="0"/>
          <w:sz w:val="24"/>
          <w:szCs w:val="24"/>
          <w:highlight w:val="none"/>
        </w:rPr>
        <w:t>本项目不支持联合投标</w:t>
      </w:r>
      <w:r>
        <w:rPr>
          <w:rFonts w:hint="eastAsia" w:ascii="宋体" w:hAnsi="宋体" w:eastAsia="宋体" w:cs="宋体"/>
          <w:kern w:val="0"/>
          <w:sz w:val="24"/>
          <w:szCs w:val="24"/>
          <w:highlight w:val="none"/>
        </w:rPr>
        <w:t>，</w:t>
      </w:r>
      <w:r>
        <w:rPr>
          <w:rFonts w:ascii="宋体" w:hAnsi="宋体" w:eastAsia="宋体" w:cs="宋体"/>
          <w:kern w:val="0"/>
          <w:sz w:val="24"/>
          <w:szCs w:val="24"/>
          <w:highlight w:val="none"/>
        </w:rPr>
        <w:t>不能转包及分包</w:t>
      </w:r>
      <w:r>
        <w:rPr>
          <w:rFonts w:hint="eastAsia" w:ascii="宋体" w:hAnsi="宋体" w:eastAsia="宋体" w:cs="宋体"/>
          <w:kern w:val="0"/>
          <w:sz w:val="24"/>
          <w:szCs w:val="24"/>
          <w:highlight w:val="none"/>
        </w:rPr>
        <w:t>。</w:t>
      </w:r>
    </w:p>
    <w:p>
      <w:pPr>
        <w:autoSpaceDE w:val="0"/>
        <w:autoSpaceDN w:val="0"/>
        <w:adjustRightInd w:val="0"/>
        <w:spacing w:line="360" w:lineRule="auto"/>
        <w:ind w:firstLine="480" w:firstLineChars="200"/>
        <w:rPr>
          <w:rFonts w:ascii="宋体" w:hAnsi="宋体" w:eastAsia="宋体" w:cs="宋体"/>
          <w:kern w:val="0"/>
          <w:sz w:val="24"/>
          <w:szCs w:val="24"/>
          <w:highlight w:val="none"/>
        </w:rPr>
      </w:pPr>
      <w:r>
        <w:rPr>
          <w:rFonts w:ascii="宋体" w:hAnsi="宋体" w:eastAsia="宋体" w:cs="宋体"/>
          <w:kern w:val="0"/>
          <w:sz w:val="24"/>
          <w:szCs w:val="24"/>
          <w:highlight w:val="none"/>
        </w:rPr>
        <w:t>1</w:t>
      </w:r>
      <w:r>
        <w:rPr>
          <w:rFonts w:hint="eastAsia" w:ascii="宋体" w:hAnsi="宋体" w:eastAsia="宋体" w:cs="宋体"/>
          <w:kern w:val="0"/>
          <w:sz w:val="24"/>
          <w:szCs w:val="24"/>
          <w:highlight w:val="none"/>
        </w:rPr>
        <w:t>0、</w:t>
      </w:r>
      <w:r>
        <w:rPr>
          <w:rFonts w:ascii="宋体" w:hAnsi="宋体" w:eastAsia="宋体" w:cs="宋体"/>
          <w:kern w:val="0"/>
          <w:sz w:val="24"/>
          <w:szCs w:val="24"/>
          <w:highlight w:val="none"/>
        </w:rPr>
        <w:t>招标要求中所需的资质文件都</w:t>
      </w:r>
      <w:r>
        <w:rPr>
          <w:rFonts w:hint="eastAsia" w:ascii="宋体" w:hAnsi="宋体" w:eastAsia="宋体" w:cs="宋体"/>
          <w:kern w:val="0"/>
          <w:sz w:val="24"/>
          <w:szCs w:val="24"/>
          <w:highlight w:val="none"/>
        </w:rPr>
        <w:t>须</w:t>
      </w:r>
      <w:r>
        <w:rPr>
          <w:rFonts w:ascii="宋体" w:hAnsi="宋体" w:eastAsia="宋体" w:cs="宋体"/>
          <w:kern w:val="0"/>
          <w:sz w:val="24"/>
          <w:szCs w:val="24"/>
          <w:highlight w:val="none"/>
        </w:rPr>
        <w:t>提交</w:t>
      </w:r>
      <w:r>
        <w:rPr>
          <w:rFonts w:hint="eastAsia" w:ascii="宋体" w:hAnsi="宋体" w:eastAsia="宋体" w:cs="宋体"/>
          <w:kern w:val="0"/>
          <w:sz w:val="24"/>
          <w:szCs w:val="24"/>
          <w:highlight w:val="none"/>
        </w:rPr>
        <w:t>清晰可辨</w:t>
      </w:r>
      <w:r>
        <w:rPr>
          <w:rFonts w:ascii="宋体" w:hAnsi="宋体" w:eastAsia="宋体" w:cs="宋体"/>
          <w:kern w:val="0"/>
          <w:sz w:val="24"/>
          <w:szCs w:val="24"/>
          <w:highlight w:val="none"/>
        </w:rPr>
        <w:t>的复印件并</w:t>
      </w:r>
      <w:r>
        <w:rPr>
          <w:rFonts w:hint="eastAsia" w:ascii="宋体" w:hAnsi="宋体" w:eastAsia="宋体" w:cs="宋体"/>
          <w:kern w:val="0"/>
          <w:sz w:val="24"/>
          <w:szCs w:val="24"/>
          <w:highlight w:val="none"/>
        </w:rPr>
        <w:t>加盖公章。</w:t>
      </w:r>
    </w:p>
    <w:p>
      <w:pPr>
        <w:autoSpaceDE w:val="0"/>
        <w:autoSpaceDN w:val="0"/>
        <w:adjustRightInd w:val="0"/>
        <w:spacing w:line="360" w:lineRule="auto"/>
        <w:ind w:firstLine="480" w:firstLineChars="200"/>
        <w:rPr>
          <w:rFonts w:ascii="宋体" w:hAnsi="宋体" w:eastAsia="宋体" w:cs="宋体"/>
          <w:kern w:val="0"/>
          <w:sz w:val="24"/>
          <w:szCs w:val="24"/>
          <w:highlight w:val="none"/>
        </w:rPr>
      </w:pPr>
      <w:r>
        <w:rPr>
          <w:rFonts w:ascii="宋体" w:hAnsi="宋体" w:eastAsia="宋体" w:cs="宋体"/>
          <w:kern w:val="0"/>
          <w:sz w:val="24"/>
          <w:szCs w:val="24"/>
          <w:highlight w:val="none"/>
        </w:rPr>
        <w:t>1</w:t>
      </w:r>
      <w:r>
        <w:rPr>
          <w:rFonts w:hint="eastAsia" w:ascii="宋体" w:hAnsi="宋体" w:eastAsia="宋体" w:cs="宋体"/>
          <w:kern w:val="0"/>
          <w:sz w:val="24"/>
          <w:szCs w:val="24"/>
          <w:highlight w:val="none"/>
        </w:rPr>
        <w:t>1、投标人在招标过程中参与围标、串标或陪标等舞弊或作假行为的，一经核实，招标人有权要求其2年内不得参与招标人系统内任何招标采购工作。同时，对已中标的上述作假行为投标人，应取消其中标资格并不予返还投标保证金；对已签订合同的，则视为违约，违约金比例为合同金额的20%，守约方有权终止合同，违约方须返还已经收到的全部合同款项。若因上述情况造成招标人或守约方其他损失的，须进行赔偿。</w:t>
      </w:r>
    </w:p>
    <w:p>
      <w:pPr>
        <w:autoSpaceDE w:val="0"/>
        <w:autoSpaceDN w:val="0"/>
        <w:adjustRightInd w:val="0"/>
        <w:spacing w:line="360" w:lineRule="auto"/>
        <w:ind w:firstLine="480" w:firstLineChars="200"/>
        <w:rPr>
          <w:rFonts w:ascii="宋体" w:hAnsi="宋体" w:eastAsia="宋体" w:cs="宋体"/>
          <w:kern w:val="0"/>
          <w:sz w:val="24"/>
          <w:szCs w:val="24"/>
          <w:highlight w:val="none"/>
        </w:rPr>
      </w:pPr>
      <w:r>
        <w:rPr>
          <w:rFonts w:ascii="宋体" w:hAnsi="宋体" w:eastAsia="宋体" w:cs="宋体"/>
          <w:kern w:val="0"/>
          <w:sz w:val="24"/>
          <w:szCs w:val="24"/>
          <w:highlight w:val="none"/>
        </w:rPr>
        <w:t>1</w:t>
      </w:r>
      <w:r>
        <w:rPr>
          <w:rFonts w:hint="eastAsia" w:ascii="宋体" w:hAnsi="宋体" w:eastAsia="宋体" w:cs="宋体"/>
          <w:kern w:val="0"/>
          <w:sz w:val="24"/>
          <w:szCs w:val="24"/>
          <w:highlight w:val="none"/>
        </w:rPr>
        <w:t>2、开标后投标人在投标有效期内撤回投标；或因投标人的原因对本次招标工作造成较严重后果的；或投标人在中标通知书发放后不与招标人签订合同的，招标人有权不予退还投标保证金，且取消相关投标人的中标资格。</w:t>
      </w:r>
    </w:p>
    <w:p>
      <w:pPr>
        <w:autoSpaceDE w:val="0"/>
        <w:autoSpaceDN w:val="0"/>
        <w:adjustRightInd w:val="0"/>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w:t>
      </w:r>
      <w:r>
        <w:rPr>
          <w:rFonts w:ascii="宋体" w:hAnsi="宋体" w:cs="宋体"/>
          <w:kern w:val="0"/>
          <w:sz w:val="24"/>
          <w:szCs w:val="24"/>
          <w:highlight w:val="none"/>
        </w:rPr>
        <w:t>3</w:t>
      </w:r>
      <w:r>
        <w:rPr>
          <w:rFonts w:hint="eastAsia" w:ascii="宋体" w:hAnsi="宋体" w:cs="宋体"/>
          <w:kern w:val="0"/>
          <w:sz w:val="24"/>
          <w:szCs w:val="24"/>
          <w:highlight w:val="none"/>
        </w:rPr>
        <w:t>、投标人应按照所附合同模版（详见附件4）与甲方签订合同，原则上合同条款不做变更，但甲方同意变更的除外。</w:t>
      </w:r>
    </w:p>
    <w:p>
      <w:pPr>
        <w:autoSpaceDE w:val="0"/>
        <w:autoSpaceDN w:val="0"/>
        <w:adjustRightInd w:val="0"/>
        <w:spacing w:line="360"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ascii="宋体" w:hAnsi="宋体" w:eastAsia="宋体" w:cs="宋体"/>
          <w:kern w:val="0"/>
          <w:sz w:val="24"/>
          <w:szCs w:val="24"/>
          <w:highlight w:val="none"/>
        </w:rPr>
        <w:t>4</w:t>
      </w:r>
      <w:r>
        <w:rPr>
          <w:rFonts w:hint="eastAsia" w:ascii="宋体" w:hAnsi="宋体" w:eastAsia="宋体" w:cs="宋体"/>
          <w:kern w:val="0"/>
          <w:sz w:val="24"/>
          <w:szCs w:val="24"/>
          <w:highlight w:val="none"/>
        </w:rPr>
        <w:t>、投标有效期：从提交投标文件的截止之日起算不少于90天。</w:t>
      </w:r>
    </w:p>
    <w:p>
      <w:pPr>
        <w:autoSpaceDE w:val="0"/>
        <w:autoSpaceDN w:val="0"/>
        <w:adjustRightInd w:val="0"/>
        <w:spacing w:line="360" w:lineRule="auto"/>
        <w:ind w:firstLine="480" w:firstLineChars="200"/>
        <w:rPr>
          <w:rFonts w:ascii="宋体" w:hAnsi="宋体" w:eastAsia="宋体" w:cs="宋体"/>
          <w:b/>
          <w:kern w:val="0"/>
          <w:sz w:val="24"/>
          <w:szCs w:val="24"/>
          <w:highlight w:val="none"/>
        </w:rPr>
      </w:pPr>
      <w:r>
        <w:rPr>
          <w:rFonts w:ascii="宋体" w:hAnsi="宋体" w:eastAsia="宋体" w:cs="宋体"/>
          <w:kern w:val="0"/>
          <w:sz w:val="24"/>
          <w:szCs w:val="24"/>
          <w:highlight w:val="none"/>
        </w:rPr>
        <w:t>15</w:t>
      </w:r>
      <w:r>
        <w:rPr>
          <w:rFonts w:hint="eastAsia" w:ascii="宋体" w:hAnsi="宋体" w:eastAsia="宋体" w:cs="宋体"/>
          <w:kern w:val="0"/>
          <w:sz w:val="24"/>
          <w:szCs w:val="24"/>
          <w:highlight w:val="none"/>
        </w:rPr>
        <w:t>、投标人参与投标视为认可上述全部条款。</w:t>
      </w:r>
    </w:p>
    <w:p>
      <w:pPr>
        <w:autoSpaceDE w:val="0"/>
        <w:autoSpaceDN w:val="0"/>
        <w:adjustRightInd w:val="0"/>
        <w:spacing w:before="100" w:beforeAutospacing="1" w:line="360" w:lineRule="auto"/>
        <w:outlineLvl w:val="0"/>
        <w:rPr>
          <w:rFonts w:ascii="宋体" w:hAnsi="宋体" w:eastAsia="宋体" w:cs="黑体"/>
          <w:kern w:val="0"/>
          <w:sz w:val="28"/>
          <w:szCs w:val="28"/>
          <w:highlight w:val="none"/>
        </w:rPr>
      </w:pPr>
      <w:r>
        <w:rPr>
          <w:rFonts w:hint="eastAsia" w:ascii="宋体" w:hAnsi="宋体" w:eastAsia="宋体" w:cs="黑体"/>
          <w:kern w:val="0"/>
          <w:sz w:val="28"/>
          <w:szCs w:val="28"/>
          <w:highlight w:val="none"/>
        </w:rPr>
        <w:t>三、响应文件</w:t>
      </w:r>
    </w:p>
    <w:p>
      <w:pPr>
        <w:autoSpaceDE w:val="0"/>
        <w:autoSpaceDN w:val="0"/>
        <w:adjustRightInd w:val="0"/>
        <w:spacing w:line="360" w:lineRule="auto"/>
        <w:ind w:firstLine="480" w:firstLineChars="200"/>
        <w:rPr>
          <w:rFonts w:ascii="宋体" w:hAnsi="宋体" w:eastAsia="宋体"/>
          <w:sz w:val="24"/>
          <w:szCs w:val="24"/>
          <w:highlight w:val="none"/>
        </w:rPr>
      </w:pPr>
      <w:r>
        <w:rPr>
          <w:rFonts w:hint="eastAsia" w:ascii="宋体" w:hAnsi="宋体" w:eastAsia="宋体" w:cs="宋体"/>
          <w:kern w:val="0"/>
          <w:sz w:val="24"/>
          <w:szCs w:val="24"/>
          <w:highlight w:val="none"/>
        </w:rPr>
        <w:t>响应文件应包含：商务报价文件，技术文件（针对本项目的技术或服务偏离说明表，采购文件要求提供的其他资料），商务文件（证明其为合格服务商的有关资格证明文件，采购文件要求提供的其他资料）。</w:t>
      </w:r>
    </w:p>
    <w:p>
      <w:pPr>
        <w:autoSpaceDE w:val="0"/>
        <w:autoSpaceDN w:val="0"/>
        <w:adjustRightInd w:val="0"/>
        <w:spacing w:line="360" w:lineRule="auto"/>
        <w:ind w:firstLine="482" w:firstLineChars="200"/>
        <w:rPr>
          <w:rFonts w:ascii="宋体" w:hAnsi="宋体" w:eastAsia="宋体" w:cs="宋体"/>
          <w:b/>
          <w:kern w:val="0"/>
          <w:sz w:val="24"/>
          <w:szCs w:val="24"/>
          <w:highlight w:val="none"/>
        </w:rPr>
      </w:pPr>
      <w:r>
        <w:rPr>
          <w:rFonts w:hint="eastAsia" w:ascii="宋体" w:hAnsi="宋体" w:eastAsia="宋体" w:cs="宋体"/>
          <w:b/>
          <w:kern w:val="0"/>
          <w:sz w:val="24"/>
          <w:szCs w:val="24"/>
          <w:highlight w:val="none"/>
        </w:rPr>
        <w:t>1、响应人的商务报价文件（需加盖公章）</w:t>
      </w:r>
    </w:p>
    <w:p>
      <w:pPr>
        <w:autoSpaceDE w:val="0"/>
        <w:autoSpaceDN w:val="0"/>
        <w:adjustRightInd w:val="0"/>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bdr w:val="single" w:color="auto" w:sz="4" w:space="0"/>
        </w:rPr>
        <w:t>明细报价单</w:t>
      </w:r>
      <w:r>
        <w:rPr>
          <w:rFonts w:hint="eastAsia" w:ascii="宋体" w:hAnsi="宋体" w:eastAsia="宋体"/>
          <w:b/>
          <w:sz w:val="24"/>
          <w:szCs w:val="24"/>
          <w:highlight w:val="none"/>
          <w:bdr w:val="single" w:color="auto" w:sz="4" w:space="0"/>
        </w:rPr>
        <w:t>（建议单独</w:t>
      </w:r>
      <w:r>
        <w:rPr>
          <w:rFonts w:ascii="宋体" w:hAnsi="宋体" w:eastAsia="宋体"/>
          <w:b/>
          <w:sz w:val="24"/>
          <w:szCs w:val="24"/>
          <w:highlight w:val="none"/>
          <w:bdr w:val="single" w:color="auto" w:sz="4" w:space="0"/>
        </w:rPr>
        <w:t>密封）</w:t>
      </w:r>
      <w:r>
        <w:rPr>
          <w:rFonts w:hint="eastAsia" w:ascii="宋体" w:hAnsi="宋体" w:eastAsia="宋体"/>
          <w:b/>
          <w:sz w:val="24"/>
          <w:szCs w:val="24"/>
          <w:highlight w:val="none"/>
        </w:rPr>
        <w:t>。</w:t>
      </w:r>
    </w:p>
    <w:p>
      <w:pPr>
        <w:autoSpaceDE w:val="0"/>
        <w:autoSpaceDN w:val="0"/>
        <w:adjustRightInd w:val="0"/>
        <w:spacing w:line="360" w:lineRule="auto"/>
        <w:ind w:firstLine="482" w:firstLineChars="200"/>
        <w:rPr>
          <w:rFonts w:ascii="宋体" w:hAnsi="宋体" w:eastAsia="宋体" w:cs="宋体"/>
          <w:b/>
          <w:kern w:val="0"/>
          <w:sz w:val="24"/>
          <w:szCs w:val="24"/>
          <w:highlight w:val="none"/>
        </w:rPr>
      </w:pPr>
      <w:r>
        <w:rPr>
          <w:rFonts w:hint="eastAsia" w:ascii="宋体" w:hAnsi="宋体" w:eastAsia="宋体" w:cs="宋体"/>
          <w:b/>
          <w:kern w:val="0"/>
          <w:sz w:val="24"/>
          <w:szCs w:val="24"/>
          <w:highlight w:val="none"/>
        </w:rPr>
        <w:t>2、响应人的商务文件（需加盖公章）</w:t>
      </w:r>
    </w:p>
    <w:p>
      <w:pPr>
        <w:autoSpaceDE w:val="0"/>
        <w:autoSpaceDN w:val="0"/>
        <w:adjustRightInd w:val="0"/>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响应人提交的证明其有资格进行投标且有能力履行合同的资格证明文件应包括下列文件：</w:t>
      </w:r>
    </w:p>
    <w:p>
      <w:pPr>
        <w:pStyle w:val="19"/>
        <w:numPr>
          <w:ilvl w:val="0"/>
          <w:numId w:val="2"/>
        </w:numPr>
        <w:autoSpaceDE w:val="0"/>
        <w:autoSpaceDN w:val="0"/>
        <w:adjustRightInd w:val="0"/>
        <w:spacing w:line="360" w:lineRule="auto"/>
        <w:ind w:firstLineChars="0"/>
        <w:rPr>
          <w:rFonts w:ascii="宋体" w:hAnsi="宋体"/>
          <w:szCs w:val="24"/>
          <w:highlight w:val="none"/>
        </w:rPr>
      </w:pPr>
      <w:r>
        <w:rPr>
          <w:rFonts w:hint="eastAsia" w:ascii="宋体" w:hAnsi="宋体"/>
          <w:szCs w:val="24"/>
          <w:highlight w:val="none"/>
        </w:rPr>
        <w:t>提供通过年检有效的企业法人营业执照、税务登记证、组织机构代码证；或</w:t>
      </w:r>
      <w:r>
        <w:rPr>
          <w:rFonts w:ascii="宋体" w:hAnsi="宋体"/>
          <w:szCs w:val="24"/>
          <w:highlight w:val="none"/>
        </w:rPr>
        <w:t>上述证件的三证合一件</w:t>
      </w:r>
      <w:r>
        <w:rPr>
          <w:rFonts w:hint="eastAsia" w:ascii="宋体" w:hAnsi="宋体"/>
          <w:szCs w:val="24"/>
          <w:highlight w:val="none"/>
        </w:rPr>
        <w:t>，</w:t>
      </w:r>
      <w:r>
        <w:rPr>
          <w:rFonts w:ascii="宋体" w:hAnsi="宋体"/>
          <w:szCs w:val="24"/>
          <w:highlight w:val="none"/>
        </w:rPr>
        <w:t>以上均为复印件。</w:t>
      </w:r>
    </w:p>
    <w:p>
      <w:pPr>
        <w:pStyle w:val="19"/>
        <w:numPr>
          <w:ilvl w:val="0"/>
          <w:numId w:val="2"/>
        </w:numPr>
        <w:autoSpaceDE w:val="0"/>
        <w:autoSpaceDN w:val="0"/>
        <w:adjustRightInd w:val="0"/>
        <w:spacing w:line="360" w:lineRule="auto"/>
        <w:ind w:firstLineChars="0"/>
        <w:rPr>
          <w:rFonts w:ascii="宋体" w:hAnsi="宋体"/>
          <w:szCs w:val="24"/>
          <w:highlight w:val="none"/>
        </w:rPr>
      </w:pPr>
      <w:r>
        <w:rPr>
          <w:rFonts w:ascii="宋体" w:hAnsi="宋体"/>
          <w:szCs w:val="24"/>
          <w:highlight w:val="none"/>
        </w:rPr>
        <w:t>法人代表</w:t>
      </w:r>
      <w:r>
        <w:rPr>
          <w:rFonts w:hint="eastAsia" w:ascii="宋体" w:hAnsi="宋体"/>
          <w:szCs w:val="24"/>
          <w:highlight w:val="none"/>
        </w:rPr>
        <w:t>人（投资人/负责人）</w:t>
      </w:r>
      <w:r>
        <w:rPr>
          <w:rFonts w:ascii="宋体" w:hAnsi="宋体"/>
          <w:szCs w:val="24"/>
          <w:highlight w:val="none"/>
        </w:rPr>
        <w:t>授权书</w:t>
      </w:r>
      <w:r>
        <w:rPr>
          <w:rFonts w:hint="eastAsia" w:ascii="宋体" w:hAnsi="宋体"/>
          <w:szCs w:val="24"/>
          <w:highlight w:val="none"/>
        </w:rPr>
        <w:t>（格式见附件</w:t>
      </w:r>
      <w:r>
        <w:rPr>
          <w:rFonts w:ascii="宋体" w:hAnsi="宋体"/>
          <w:szCs w:val="24"/>
          <w:highlight w:val="none"/>
        </w:rPr>
        <w:t>2</w:t>
      </w:r>
      <w:r>
        <w:rPr>
          <w:rFonts w:hint="eastAsia" w:ascii="宋体" w:hAnsi="宋体"/>
          <w:szCs w:val="24"/>
          <w:highlight w:val="none"/>
        </w:rPr>
        <w:t>），法定代表人及授权委托人的身份证（复印件）；</w:t>
      </w:r>
    </w:p>
    <w:p>
      <w:pPr>
        <w:pStyle w:val="19"/>
        <w:numPr>
          <w:ilvl w:val="0"/>
          <w:numId w:val="2"/>
        </w:numPr>
        <w:autoSpaceDE w:val="0"/>
        <w:autoSpaceDN w:val="0"/>
        <w:adjustRightInd w:val="0"/>
        <w:spacing w:line="360" w:lineRule="auto"/>
        <w:ind w:firstLineChars="0"/>
        <w:rPr>
          <w:rFonts w:ascii="宋体" w:hAnsi="宋体"/>
          <w:szCs w:val="24"/>
          <w:highlight w:val="none"/>
        </w:rPr>
      </w:pPr>
      <w:r>
        <w:rPr>
          <w:rFonts w:hint="eastAsia" w:ascii="宋体" w:hAnsi="宋体"/>
          <w:szCs w:val="24"/>
          <w:highlight w:val="none"/>
        </w:rPr>
        <w:t>提交针对商务要求的响应。</w:t>
      </w:r>
    </w:p>
    <w:p>
      <w:pPr>
        <w:pStyle w:val="19"/>
        <w:numPr>
          <w:ilvl w:val="0"/>
          <w:numId w:val="2"/>
        </w:numPr>
        <w:autoSpaceDE w:val="0"/>
        <w:autoSpaceDN w:val="0"/>
        <w:adjustRightInd w:val="0"/>
        <w:spacing w:line="360" w:lineRule="auto"/>
        <w:ind w:firstLineChars="0"/>
        <w:rPr>
          <w:rFonts w:ascii="宋体" w:hAnsi="宋体"/>
          <w:szCs w:val="24"/>
          <w:highlight w:val="none"/>
        </w:rPr>
      </w:pPr>
      <w:r>
        <w:rPr>
          <w:rFonts w:hint="eastAsia" w:ascii="宋体" w:hAnsi="宋体" w:cs="宋体"/>
          <w:szCs w:val="24"/>
          <w:highlight w:val="none"/>
        </w:rPr>
        <w:t>其他响应人认为有必要提供的资料。</w:t>
      </w:r>
    </w:p>
    <w:p>
      <w:pPr>
        <w:autoSpaceDE w:val="0"/>
        <w:autoSpaceDN w:val="0"/>
        <w:adjustRightInd w:val="0"/>
        <w:spacing w:line="360" w:lineRule="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商务条款响应表格式如下：</w:t>
      </w:r>
    </w:p>
    <w:p>
      <w:pPr>
        <w:spacing w:line="360" w:lineRule="atLeast"/>
        <w:jc w:val="center"/>
        <w:rPr>
          <w:rFonts w:ascii="宋体" w:hAnsi="宋体" w:eastAsia="宋体"/>
          <w:b/>
          <w:sz w:val="24"/>
          <w:szCs w:val="24"/>
          <w:highlight w:val="none"/>
        </w:rPr>
      </w:pPr>
      <w:r>
        <w:rPr>
          <w:rFonts w:ascii="宋体" w:hAnsi="宋体" w:eastAsia="宋体"/>
          <w:b/>
          <w:sz w:val="24"/>
          <w:szCs w:val="24"/>
          <w:highlight w:val="none"/>
        </w:rPr>
        <w:t>商务</w:t>
      </w:r>
      <w:r>
        <w:rPr>
          <w:rFonts w:hint="eastAsia" w:ascii="宋体" w:hAnsi="宋体" w:eastAsia="宋体"/>
          <w:b/>
          <w:sz w:val="24"/>
          <w:szCs w:val="24"/>
          <w:highlight w:val="none"/>
        </w:rPr>
        <w:t>要求</w:t>
      </w:r>
      <w:r>
        <w:rPr>
          <w:rFonts w:ascii="宋体" w:hAnsi="宋体" w:eastAsia="宋体"/>
          <w:b/>
          <w:sz w:val="24"/>
          <w:szCs w:val="24"/>
          <w:highlight w:val="none"/>
        </w:rPr>
        <w:t>条款响应/偏离表</w:t>
      </w:r>
      <w:r>
        <w:rPr>
          <w:rFonts w:hint="eastAsia" w:ascii="宋体" w:hAnsi="宋体" w:eastAsia="宋体"/>
          <w:b/>
          <w:sz w:val="24"/>
          <w:szCs w:val="24"/>
          <w:highlight w:val="none"/>
        </w:rPr>
        <w:t>（参考格式）</w:t>
      </w:r>
    </w:p>
    <w:p>
      <w:pPr>
        <w:spacing w:line="360" w:lineRule="atLeast"/>
        <w:rPr>
          <w:rFonts w:ascii="宋体" w:hAnsi="宋体" w:eastAsia="宋体"/>
          <w:sz w:val="24"/>
          <w:szCs w:val="24"/>
          <w:highlight w:val="none"/>
        </w:rPr>
      </w:pPr>
      <w:r>
        <w:rPr>
          <w:rFonts w:hint="eastAsia" w:ascii="宋体" w:hAnsi="宋体" w:eastAsia="宋体"/>
          <w:sz w:val="24"/>
          <w:szCs w:val="24"/>
          <w:highlight w:val="none"/>
        </w:rPr>
        <w:t>响应</w:t>
      </w:r>
      <w:r>
        <w:rPr>
          <w:rFonts w:ascii="宋体" w:hAnsi="宋体" w:eastAsia="宋体"/>
          <w:sz w:val="24"/>
          <w:szCs w:val="24"/>
          <w:highlight w:val="none"/>
        </w:rPr>
        <w:t>人名称：</w:t>
      </w:r>
    </w:p>
    <w:tbl>
      <w:tblPr>
        <w:tblStyle w:val="13"/>
        <w:tblW w:w="793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43"/>
        <w:gridCol w:w="2126"/>
        <w:gridCol w:w="2410"/>
        <w:gridCol w:w="1276"/>
        <w:gridCol w:w="12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70" w:hRule="atLeast"/>
        </w:trPr>
        <w:tc>
          <w:tcPr>
            <w:tcW w:w="843" w:type="dxa"/>
            <w:vAlign w:val="center"/>
          </w:tcPr>
          <w:p>
            <w:pPr>
              <w:spacing w:line="360" w:lineRule="atLeast"/>
              <w:rPr>
                <w:rFonts w:ascii="宋体" w:hAnsi="宋体" w:eastAsia="宋体"/>
                <w:sz w:val="24"/>
                <w:szCs w:val="24"/>
                <w:highlight w:val="none"/>
              </w:rPr>
            </w:pPr>
            <w:r>
              <w:rPr>
                <w:rFonts w:hint="eastAsia" w:ascii="宋体" w:hAnsi="宋体" w:eastAsia="宋体"/>
                <w:sz w:val="24"/>
                <w:szCs w:val="24"/>
                <w:highlight w:val="none"/>
              </w:rPr>
              <w:t>序号</w:t>
            </w:r>
          </w:p>
        </w:tc>
        <w:tc>
          <w:tcPr>
            <w:tcW w:w="2126" w:type="dxa"/>
            <w:vAlign w:val="center"/>
          </w:tcPr>
          <w:p>
            <w:pPr>
              <w:spacing w:line="360" w:lineRule="atLeast"/>
              <w:rPr>
                <w:rFonts w:ascii="宋体" w:hAnsi="宋体" w:eastAsia="宋体"/>
                <w:sz w:val="24"/>
                <w:szCs w:val="24"/>
                <w:highlight w:val="none"/>
              </w:rPr>
            </w:pPr>
            <w:r>
              <w:rPr>
                <w:rFonts w:hint="eastAsia" w:ascii="宋体" w:hAnsi="宋体" w:eastAsia="宋体"/>
                <w:sz w:val="24"/>
                <w:szCs w:val="24"/>
                <w:highlight w:val="none"/>
              </w:rPr>
              <w:t>商务要求条款</w:t>
            </w:r>
          </w:p>
        </w:tc>
        <w:tc>
          <w:tcPr>
            <w:tcW w:w="2410" w:type="dxa"/>
            <w:vAlign w:val="center"/>
          </w:tcPr>
          <w:p>
            <w:pPr>
              <w:spacing w:line="360" w:lineRule="atLeast"/>
              <w:rPr>
                <w:rFonts w:ascii="宋体" w:hAnsi="宋体" w:eastAsia="宋体"/>
                <w:sz w:val="24"/>
                <w:szCs w:val="24"/>
                <w:highlight w:val="none"/>
              </w:rPr>
            </w:pPr>
            <w:r>
              <w:rPr>
                <w:rFonts w:hint="eastAsia" w:ascii="宋体" w:hAnsi="宋体" w:eastAsia="宋体"/>
                <w:sz w:val="24"/>
                <w:szCs w:val="24"/>
                <w:highlight w:val="none"/>
              </w:rPr>
              <w:t>响应</w:t>
            </w:r>
          </w:p>
        </w:tc>
        <w:tc>
          <w:tcPr>
            <w:tcW w:w="1276" w:type="dxa"/>
            <w:vAlign w:val="center"/>
          </w:tcPr>
          <w:p>
            <w:pPr>
              <w:spacing w:line="360" w:lineRule="atLeast"/>
              <w:rPr>
                <w:rFonts w:ascii="宋体" w:hAnsi="宋体" w:eastAsia="宋体"/>
                <w:sz w:val="24"/>
                <w:szCs w:val="24"/>
                <w:highlight w:val="none"/>
              </w:rPr>
            </w:pPr>
            <w:r>
              <w:rPr>
                <w:rFonts w:hint="eastAsia" w:ascii="宋体" w:hAnsi="宋体" w:eastAsia="宋体"/>
                <w:sz w:val="24"/>
                <w:szCs w:val="24"/>
                <w:highlight w:val="none"/>
              </w:rPr>
              <w:t>是否偏离</w:t>
            </w:r>
          </w:p>
        </w:tc>
        <w:tc>
          <w:tcPr>
            <w:tcW w:w="1275" w:type="dxa"/>
            <w:vAlign w:val="center"/>
          </w:tcPr>
          <w:p>
            <w:pPr>
              <w:spacing w:line="360" w:lineRule="atLeast"/>
              <w:rPr>
                <w:rFonts w:ascii="宋体" w:hAnsi="宋体" w:eastAsia="宋体"/>
                <w:sz w:val="24"/>
                <w:szCs w:val="24"/>
                <w:highlight w:val="none"/>
              </w:rPr>
            </w:pPr>
            <w:r>
              <w:rPr>
                <w:rFonts w:hint="eastAsia" w:ascii="宋体" w:hAnsi="宋体" w:eastAsia="宋体"/>
                <w:sz w:val="24"/>
                <w:szCs w:val="24"/>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36" w:hRule="atLeast"/>
        </w:trPr>
        <w:tc>
          <w:tcPr>
            <w:tcW w:w="843" w:type="dxa"/>
          </w:tcPr>
          <w:p>
            <w:pPr>
              <w:spacing w:line="360" w:lineRule="atLeast"/>
              <w:rPr>
                <w:rFonts w:ascii="宋体" w:hAnsi="宋体" w:eastAsia="宋体"/>
                <w:sz w:val="24"/>
                <w:szCs w:val="24"/>
                <w:highlight w:val="none"/>
              </w:rPr>
            </w:pPr>
          </w:p>
        </w:tc>
        <w:tc>
          <w:tcPr>
            <w:tcW w:w="2126" w:type="dxa"/>
          </w:tcPr>
          <w:p>
            <w:pPr>
              <w:spacing w:line="360" w:lineRule="atLeast"/>
              <w:rPr>
                <w:rFonts w:ascii="宋体" w:hAnsi="宋体" w:eastAsia="宋体"/>
                <w:sz w:val="24"/>
                <w:szCs w:val="24"/>
                <w:highlight w:val="none"/>
              </w:rPr>
            </w:pPr>
          </w:p>
        </w:tc>
        <w:tc>
          <w:tcPr>
            <w:tcW w:w="2410" w:type="dxa"/>
          </w:tcPr>
          <w:p>
            <w:pPr>
              <w:spacing w:line="360" w:lineRule="atLeast"/>
              <w:rPr>
                <w:rFonts w:ascii="宋体" w:hAnsi="宋体" w:eastAsia="宋体"/>
                <w:sz w:val="24"/>
                <w:szCs w:val="24"/>
                <w:highlight w:val="none"/>
              </w:rPr>
            </w:pPr>
          </w:p>
        </w:tc>
        <w:tc>
          <w:tcPr>
            <w:tcW w:w="1276" w:type="dxa"/>
          </w:tcPr>
          <w:p>
            <w:pPr>
              <w:spacing w:line="360" w:lineRule="atLeast"/>
              <w:rPr>
                <w:rFonts w:ascii="宋体" w:hAnsi="宋体" w:eastAsia="宋体"/>
                <w:sz w:val="24"/>
                <w:szCs w:val="24"/>
                <w:highlight w:val="none"/>
              </w:rPr>
            </w:pPr>
          </w:p>
        </w:tc>
        <w:tc>
          <w:tcPr>
            <w:tcW w:w="1275" w:type="dxa"/>
          </w:tcPr>
          <w:p>
            <w:pPr>
              <w:spacing w:line="360" w:lineRule="atLeast"/>
              <w:rPr>
                <w:rFonts w:ascii="宋体" w:hAnsi="宋体" w:eastAsia="宋体"/>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56" w:hRule="atLeast"/>
        </w:trPr>
        <w:tc>
          <w:tcPr>
            <w:tcW w:w="843" w:type="dxa"/>
          </w:tcPr>
          <w:p>
            <w:pPr>
              <w:spacing w:line="360" w:lineRule="atLeast"/>
              <w:rPr>
                <w:rFonts w:ascii="宋体" w:hAnsi="宋体" w:eastAsia="宋体"/>
                <w:sz w:val="24"/>
                <w:szCs w:val="24"/>
                <w:highlight w:val="none"/>
              </w:rPr>
            </w:pPr>
          </w:p>
        </w:tc>
        <w:tc>
          <w:tcPr>
            <w:tcW w:w="2126" w:type="dxa"/>
          </w:tcPr>
          <w:p>
            <w:pPr>
              <w:spacing w:line="360" w:lineRule="atLeast"/>
              <w:rPr>
                <w:rFonts w:ascii="宋体" w:hAnsi="宋体" w:eastAsia="宋体"/>
                <w:sz w:val="24"/>
                <w:szCs w:val="24"/>
                <w:highlight w:val="none"/>
              </w:rPr>
            </w:pPr>
          </w:p>
        </w:tc>
        <w:tc>
          <w:tcPr>
            <w:tcW w:w="2410" w:type="dxa"/>
          </w:tcPr>
          <w:p>
            <w:pPr>
              <w:spacing w:line="360" w:lineRule="atLeast"/>
              <w:rPr>
                <w:rFonts w:ascii="宋体" w:hAnsi="宋体" w:eastAsia="宋体"/>
                <w:sz w:val="24"/>
                <w:szCs w:val="24"/>
                <w:highlight w:val="none"/>
              </w:rPr>
            </w:pPr>
          </w:p>
        </w:tc>
        <w:tc>
          <w:tcPr>
            <w:tcW w:w="1276" w:type="dxa"/>
          </w:tcPr>
          <w:p>
            <w:pPr>
              <w:spacing w:line="360" w:lineRule="atLeast"/>
              <w:rPr>
                <w:rFonts w:ascii="宋体" w:hAnsi="宋体" w:eastAsia="宋体"/>
                <w:sz w:val="24"/>
                <w:szCs w:val="24"/>
                <w:highlight w:val="none"/>
              </w:rPr>
            </w:pPr>
          </w:p>
        </w:tc>
        <w:tc>
          <w:tcPr>
            <w:tcW w:w="1275" w:type="dxa"/>
          </w:tcPr>
          <w:p>
            <w:pPr>
              <w:spacing w:line="360" w:lineRule="atLeast"/>
              <w:rPr>
                <w:rFonts w:ascii="宋体" w:hAnsi="宋体" w:eastAsia="宋体"/>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05" w:hRule="atLeast"/>
        </w:trPr>
        <w:tc>
          <w:tcPr>
            <w:tcW w:w="843" w:type="dxa"/>
          </w:tcPr>
          <w:p>
            <w:pPr>
              <w:spacing w:line="360" w:lineRule="atLeast"/>
              <w:rPr>
                <w:rFonts w:ascii="宋体" w:hAnsi="宋体" w:eastAsia="宋体"/>
                <w:sz w:val="24"/>
                <w:szCs w:val="24"/>
                <w:highlight w:val="none"/>
              </w:rPr>
            </w:pPr>
          </w:p>
        </w:tc>
        <w:tc>
          <w:tcPr>
            <w:tcW w:w="2126" w:type="dxa"/>
          </w:tcPr>
          <w:p>
            <w:pPr>
              <w:spacing w:line="360" w:lineRule="atLeast"/>
              <w:rPr>
                <w:rFonts w:ascii="宋体" w:hAnsi="宋体" w:eastAsia="宋体"/>
                <w:sz w:val="24"/>
                <w:szCs w:val="24"/>
                <w:highlight w:val="none"/>
              </w:rPr>
            </w:pPr>
          </w:p>
        </w:tc>
        <w:tc>
          <w:tcPr>
            <w:tcW w:w="2410" w:type="dxa"/>
          </w:tcPr>
          <w:p>
            <w:pPr>
              <w:spacing w:line="360" w:lineRule="atLeast"/>
              <w:rPr>
                <w:rFonts w:ascii="宋体" w:hAnsi="宋体" w:eastAsia="宋体"/>
                <w:sz w:val="24"/>
                <w:szCs w:val="24"/>
                <w:highlight w:val="none"/>
              </w:rPr>
            </w:pPr>
          </w:p>
        </w:tc>
        <w:tc>
          <w:tcPr>
            <w:tcW w:w="1276" w:type="dxa"/>
          </w:tcPr>
          <w:p>
            <w:pPr>
              <w:spacing w:line="360" w:lineRule="atLeast"/>
              <w:rPr>
                <w:rFonts w:ascii="宋体" w:hAnsi="宋体" w:eastAsia="宋体"/>
                <w:sz w:val="24"/>
                <w:szCs w:val="24"/>
                <w:highlight w:val="none"/>
              </w:rPr>
            </w:pPr>
          </w:p>
        </w:tc>
        <w:tc>
          <w:tcPr>
            <w:tcW w:w="1275" w:type="dxa"/>
          </w:tcPr>
          <w:p>
            <w:pPr>
              <w:spacing w:line="360" w:lineRule="atLeast"/>
              <w:rPr>
                <w:rFonts w:ascii="宋体" w:hAnsi="宋体" w:eastAsia="宋体"/>
                <w:sz w:val="24"/>
                <w:szCs w:val="24"/>
                <w:highlight w:val="none"/>
              </w:rPr>
            </w:pPr>
          </w:p>
        </w:tc>
      </w:tr>
    </w:tbl>
    <w:p>
      <w:pPr>
        <w:spacing w:line="360" w:lineRule="atLeast"/>
        <w:rPr>
          <w:rFonts w:ascii="宋体" w:hAnsi="宋体" w:eastAsia="宋体"/>
          <w:sz w:val="24"/>
          <w:szCs w:val="24"/>
          <w:highlight w:val="none"/>
        </w:rPr>
      </w:pPr>
      <w:r>
        <w:rPr>
          <w:rFonts w:hint="eastAsia" w:ascii="宋体" w:hAnsi="宋体" w:eastAsia="宋体"/>
          <w:sz w:val="24"/>
          <w:szCs w:val="24"/>
          <w:highlight w:val="none"/>
        </w:rPr>
        <w:t>响应</w:t>
      </w:r>
      <w:r>
        <w:rPr>
          <w:rFonts w:ascii="宋体" w:hAnsi="宋体" w:eastAsia="宋体"/>
          <w:sz w:val="24"/>
          <w:szCs w:val="24"/>
          <w:highlight w:val="none"/>
        </w:rPr>
        <w:t>人代表签字：____________________</w:t>
      </w:r>
      <w:r>
        <w:rPr>
          <w:rFonts w:hint="eastAsia" w:ascii="宋体" w:hAnsi="宋体" w:eastAsia="宋体"/>
          <w:sz w:val="24"/>
          <w:szCs w:val="24"/>
          <w:highlight w:val="none"/>
        </w:rPr>
        <w:t>（盖章）</w:t>
      </w:r>
    </w:p>
    <w:p>
      <w:pPr>
        <w:autoSpaceDE w:val="0"/>
        <w:autoSpaceDN w:val="0"/>
        <w:adjustRightInd w:val="0"/>
        <w:spacing w:line="360" w:lineRule="auto"/>
        <w:ind w:firstLine="482" w:firstLineChars="200"/>
        <w:rPr>
          <w:rFonts w:ascii="宋体" w:hAnsi="宋体" w:eastAsia="宋体" w:cs="宋体"/>
          <w:b/>
          <w:kern w:val="0"/>
          <w:sz w:val="24"/>
          <w:szCs w:val="24"/>
          <w:highlight w:val="none"/>
        </w:rPr>
      </w:pPr>
      <w:r>
        <w:rPr>
          <w:rFonts w:hint="eastAsia" w:ascii="宋体" w:hAnsi="宋体" w:eastAsia="宋体" w:cs="宋体"/>
          <w:b/>
          <w:kern w:val="0"/>
          <w:sz w:val="24"/>
          <w:szCs w:val="24"/>
          <w:highlight w:val="none"/>
        </w:rPr>
        <w:t>3、响应人的技术文件（需加盖公章）</w:t>
      </w:r>
    </w:p>
    <w:p>
      <w:pPr>
        <w:autoSpaceDE w:val="0"/>
        <w:autoSpaceDN w:val="0"/>
        <w:adjustRightInd w:val="0"/>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响应人提交的针对招标需求的响应。格式</w:t>
      </w:r>
      <w:r>
        <w:rPr>
          <w:rFonts w:ascii="宋体" w:hAnsi="宋体" w:eastAsia="宋体"/>
          <w:sz w:val="24"/>
          <w:szCs w:val="24"/>
          <w:highlight w:val="none"/>
        </w:rPr>
        <w:t>见下表：</w:t>
      </w:r>
    </w:p>
    <w:p>
      <w:pPr>
        <w:spacing w:line="360" w:lineRule="atLeast"/>
        <w:jc w:val="center"/>
        <w:rPr>
          <w:rFonts w:ascii="宋体" w:hAnsi="宋体" w:eastAsia="宋体"/>
          <w:b/>
          <w:sz w:val="24"/>
          <w:szCs w:val="24"/>
          <w:highlight w:val="none"/>
        </w:rPr>
      </w:pPr>
      <w:r>
        <w:rPr>
          <w:rFonts w:ascii="宋体" w:hAnsi="宋体" w:eastAsia="宋体"/>
          <w:b/>
          <w:sz w:val="24"/>
          <w:szCs w:val="24"/>
          <w:highlight w:val="none"/>
        </w:rPr>
        <w:t>规格、技术</w:t>
      </w:r>
      <w:r>
        <w:rPr>
          <w:rFonts w:hint="eastAsia" w:ascii="宋体" w:hAnsi="宋体" w:eastAsia="宋体"/>
          <w:b/>
          <w:sz w:val="24"/>
          <w:szCs w:val="24"/>
          <w:highlight w:val="none"/>
        </w:rPr>
        <w:t>需求</w:t>
      </w:r>
      <w:r>
        <w:rPr>
          <w:rFonts w:ascii="宋体" w:hAnsi="宋体" w:eastAsia="宋体"/>
          <w:b/>
          <w:sz w:val="24"/>
          <w:szCs w:val="24"/>
          <w:highlight w:val="none"/>
        </w:rPr>
        <w:t>响应/偏离表</w:t>
      </w:r>
      <w:r>
        <w:rPr>
          <w:rFonts w:hint="eastAsia" w:ascii="宋体" w:hAnsi="宋体" w:eastAsia="宋体"/>
          <w:b/>
          <w:sz w:val="24"/>
          <w:szCs w:val="24"/>
          <w:highlight w:val="none"/>
        </w:rPr>
        <w:t>（参考格式）</w:t>
      </w:r>
    </w:p>
    <w:p>
      <w:pPr>
        <w:spacing w:line="360" w:lineRule="atLeast"/>
        <w:rPr>
          <w:rFonts w:ascii="宋体" w:hAnsi="宋体" w:eastAsia="宋体"/>
          <w:sz w:val="24"/>
          <w:szCs w:val="24"/>
          <w:highlight w:val="none"/>
        </w:rPr>
      </w:pPr>
      <w:r>
        <w:rPr>
          <w:rFonts w:hint="eastAsia" w:ascii="宋体" w:hAnsi="宋体" w:eastAsia="宋体"/>
          <w:sz w:val="24"/>
          <w:szCs w:val="24"/>
          <w:highlight w:val="none"/>
        </w:rPr>
        <w:t>响应</w:t>
      </w:r>
      <w:r>
        <w:rPr>
          <w:rFonts w:ascii="宋体" w:hAnsi="宋体" w:eastAsia="宋体"/>
          <w:sz w:val="24"/>
          <w:szCs w:val="24"/>
          <w:highlight w:val="none"/>
        </w:rPr>
        <w:t>人名称：</w:t>
      </w:r>
    </w:p>
    <w:tbl>
      <w:tblPr>
        <w:tblStyle w:val="13"/>
        <w:tblW w:w="807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43"/>
        <w:gridCol w:w="2126"/>
        <w:gridCol w:w="2268"/>
        <w:gridCol w:w="1418"/>
        <w:gridCol w:w="14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70" w:hRule="atLeast"/>
        </w:trPr>
        <w:tc>
          <w:tcPr>
            <w:tcW w:w="843" w:type="dxa"/>
            <w:vAlign w:val="center"/>
          </w:tcPr>
          <w:p>
            <w:pPr>
              <w:spacing w:line="360" w:lineRule="atLeast"/>
              <w:rPr>
                <w:rFonts w:ascii="宋体" w:hAnsi="宋体" w:eastAsia="宋体"/>
                <w:sz w:val="24"/>
                <w:szCs w:val="24"/>
                <w:highlight w:val="none"/>
              </w:rPr>
            </w:pPr>
            <w:r>
              <w:rPr>
                <w:rFonts w:hint="eastAsia" w:ascii="宋体" w:hAnsi="宋体" w:eastAsia="宋体"/>
                <w:sz w:val="24"/>
                <w:szCs w:val="24"/>
                <w:highlight w:val="none"/>
              </w:rPr>
              <w:t>序号</w:t>
            </w:r>
          </w:p>
        </w:tc>
        <w:tc>
          <w:tcPr>
            <w:tcW w:w="2126" w:type="dxa"/>
            <w:vAlign w:val="center"/>
          </w:tcPr>
          <w:p>
            <w:pPr>
              <w:spacing w:line="360" w:lineRule="atLeast"/>
              <w:rPr>
                <w:rFonts w:ascii="宋体" w:hAnsi="宋体" w:eastAsia="宋体"/>
                <w:sz w:val="24"/>
                <w:szCs w:val="24"/>
                <w:highlight w:val="none"/>
              </w:rPr>
            </w:pPr>
            <w:r>
              <w:rPr>
                <w:rFonts w:hint="eastAsia" w:ascii="宋体" w:hAnsi="宋体" w:eastAsia="宋体"/>
                <w:sz w:val="24"/>
                <w:szCs w:val="24"/>
                <w:highlight w:val="none"/>
              </w:rPr>
              <w:t>需求条款</w:t>
            </w:r>
          </w:p>
        </w:tc>
        <w:tc>
          <w:tcPr>
            <w:tcW w:w="2268" w:type="dxa"/>
            <w:vAlign w:val="center"/>
          </w:tcPr>
          <w:p>
            <w:pPr>
              <w:spacing w:line="360" w:lineRule="atLeast"/>
              <w:rPr>
                <w:rFonts w:ascii="宋体" w:hAnsi="宋体" w:eastAsia="宋体"/>
                <w:sz w:val="24"/>
                <w:szCs w:val="24"/>
                <w:highlight w:val="none"/>
              </w:rPr>
            </w:pPr>
            <w:r>
              <w:rPr>
                <w:rFonts w:hint="eastAsia" w:ascii="宋体" w:hAnsi="宋体" w:eastAsia="宋体"/>
                <w:sz w:val="24"/>
                <w:szCs w:val="24"/>
                <w:highlight w:val="none"/>
              </w:rPr>
              <w:t>响应</w:t>
            </w:r>
          </w:p>
        </w:tc>
        <w:tc>
          <w:tcPr>
            <w:tcW w:w="1418" w:type="dxa"/>
            <w:vAlign w:val="center"/>
          </w:tcPr>
          <w:p>
            <w:pPr>
              <w:spacing w:line="360" w:lineRule="atLeast"/>
              <w:rPr>
                <w:rFonts w:ascii="宋体" w:hAnsi="宋体" w:eastAsia="宋体"/>
                <w:sz w:val="24"/>
                <w:szCs w:val="24"/>
                <w:highlight w:val="none"/>
              </w:rPr>
            </w:pPr>
            <w:r>
              <w:rPr>
                <w:rFonts w:hint="eastAsia" w:ascii="宋体" w:hAnsi="宋体" w:eastAsia="宋体"/>
                <w:sz w:val="24"/>
                <w:szCs w:val="24"/>
                <w:highlight w:val="none"/>
              </w:rPr>
              <w:t>是否偏离</w:t>
            </w:r>
          </w:p>
        </w:tc>
        <w:tc>
          <w:tcPr>
            <w:tcW w:w="1417" w:type="dxa"/>
            <w:vAlign w:val="center"/>
          </w:tcPr>
          <w:p>
            <w:pPr>
              <w:spacing w:line="360" w:lineRule="atLeast"/>
              <w:rPr>
                <w:rFonts w:ascii="宋体" w:hAnsi="宋体" w:eastAsia="宋体"/>
                <w:sz w:val="24"/>
                <w:szCs w:val="24"/>
                <w:highlight w:val="none"/>
              </w:rPr>
            </w:pPr>
            <w:r>
              <w:rPr>
                <w:rFonts w:hint="eastAsia" w:ascii="宋体" w:hAnsi="宋体" w:eastAsia="宋体"/>
                <w:sz w:val="24"/>
                <w:szCs w:val="24"/>
                <w:highlight w:val="none"/>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36" w:hRule="atLeast"/>
        </w:trPr>
        <w:tc>
          <w:tcPr>
            <w:tcW w:w="843" w:type="dxa"/>
          </w:tcPr>
          <w:p>
            <w:pPr>
              <w:spacing w:line="360" w:lineRule="atLeast"/>
              <w:rPr>
                <w:rFonts w:ascii="宋体" w:hAnsi="宋体" w:eastAsia="宋体"/>
                <w:sz w:val="24"/>
                <w:szCs w:val="24"/>
                <w:highlight w:val="none"/>
              </w:rPr>
            </w:pPr>
          </w:p>
        </w:tc>
        <w:tc>
          <w:tcPr>
            <w:tcW w:w="2126" w:type="dxa"/>
          </w:tcPr>
          <w:p>
            <w:pPr>
              <w:spacing w:line="360" w:lineRule="atLeast"/>
              <w:rPr>
                <w:rFonts w:ascii="宋体" w:hAnsi="宋体" w:eastAsia="宋体"/>
                <w:sz w:val="24"/>
                <w:szCs w:val="24"/>
                <w:highlight w:val="none"/>
              </w:rPr>
            </w:pPr>
          </w:p>
        </w:tc>
        <w:tc>
          <w:tcPr>
            <w:tcW w:w="2268" w:type="dxa"/>
          </w:tcPr>
          <w:p>
            <w:pPr>
              <w:spacing w:line="360" w:lineRule="atLeast"/>
              <w:rPr>
                <w:rFonts w:ascii="宋体" w:hAnsi="宋体" w:eastAsia="宋体"/>
                <w:sz w:val="24"/>
                <w:szCs w:val="24"/>
                <w:highlight w:val="none"/>
              </w:rPr>
            </w:pPr>
          </w:p>
        </w:tc>
        <w:tc>
          <w:tcPr>
            <w:tcW w:w="1418" w:type="dxa"/>
          </w:tcPr>
          <w:p>
            <w:pPr>
              <w:spacing w:line="360" w:lineRule="atLeast"/>
              <w:rPr>
                <w:rFonts w:ascii="宋体" w:hAnsi="宋体" w:eastAsia="宋体"/>
                <w:sz w:val="24"/>
                <w:szCs w:val="24"/>
                <w:highlight w:val="none"/>
              </w:rPr>
            </w:pPr>
          </w:p>
        </w:tc>
        <w:tc>
          <w:tcPr>
            <w:tcW w:w="1417" w:type="dxa"/>
          </w:tcPr>
          <w:p>
            <w:pPr>
              <w:spacing w:line="360" w:lineRule="atLeast"/>
              <w:rPr>
                <w:rFonts w:ascii="宋体" w:hAnsi="宋体" w:eastAsia="宋体"/>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56" w:hRule="atLeast"/>
        </w:trPr>
        <w:tc>
          <w:tcPr>
            <w:tcW w:w="843" w:type="dxa"/>
          </w:tcPr>
          <w:p>
            <w:pPr>
              <w:spacing w:line="360" w:lineRule="atLeast"/>
              <w:rPr>
                <w:rFonts w:ascii="宋体" w:hAnsi="宋体" w:eastAsia="宋体"/>
                <w:sz w:val="24"/>
                <w:szCs w:val="24"/>
                <w:highlight w:val="none"/>
              </w:rPr>
            </w:pPr>
          </w:p>
        </w:tc>
        <w:tc>
          <w:tcPr>
            <w:tcW w:w="2126" w:type="dxa"/>
          </w:tcPr>
          <w:p>
            <w:pPr>
              <w:spacing w:line="360" w:lineRule="atLeast"/>
              <w:rPr>
                <w:rFonts w:ascii="宋体" w:hAnsi="宋体" w:eastAsia="宋体"/>
                <w:sz w:val="24"/>
                <w:szCs w:val="24"/>
                <w:highlight w:val="none"/>
              </w:rPr>
            </w:pPr>
          </w:p>
        </w:tc>
        <w:tc>
          <w:tcPr>
            <w:tcW w:w="2268" w:type="dxa"/>
          </w:tcPr>
          <w:p>
            <w:pPr>
              <w:spacing w:line="360" w:lineRule="atLeast"/>
              <w:rPr>
                <w:rFonts w:ascii="宋体" w:hAnsi="宋体" w:eastAsia="宋体"/>
                <w:sz w:val="24"/>
                <w:szCs w:val="24"/>
                <w:highlight w:val="none"/>
              </w:rPr>
            </w:pPr>
          </w:p>
        </w:tc>
        <w:tc>
          <w:tcPr>
            <w:tcW w:w="1418" w:type="dxa"/>
          </w:tcPr>
          <w:p>
            <w:pPr>
              <w:spacing w:line="360" w:lineRule="atLeast"/>
              <w:rPr>
                <w:rFonts w:ascii="宋体" w:hAnsi="宋体" w:eastAsia="宋体"/>
                <w:sz w:val="24"/>
                <w:szCs w:val="24"/>
                <w:highlight w:val="none"/>
              </w:rPr>
            </w:pPr>
          </w:p>
        </w:tc>
        <w:tc>
          <w:tcPr>
            <w:tcW w:w="1417" w:type="dxa"/>
          </w:tcPr>
          <w:p>
            <w:pPr>
              <w:spacing w:line="360" w:lineRule="atLeast"/>
              <w:rPr>
                <w:rFonts w:ascii="宋体" w:hAnsi="宋体" w:eastAsia="宋体"/>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05" w:hRule="atLeast"/>
        </w:trPr>
        <w:tc>
          <w:tcPr>
            <w:tcW w:w="843" w:type="dxa"/>
          </w:tcPr>
          <w:p>
            <w:pPr>
              <w:spacing w:line="360" w:lineRule="atLeast"/>
              <w:rPr>
                <w:rFonts w:ascii="宋体" w:hAnsi="宋体" w:eastAsia="宋体"/>
                <w:sz w:val="24"/>
                <w:szCs w:val="24"/>
                <w:highlight w:val="none"/>
              </w:rPr>
            </w:pPr>
          </w:p>
        </w:tc>
        <w:tc>
          <w:tcPr>
            <w:tcW w:w="2126" w:type="dxa"/>
          </w:tcPr>
          <w:p>
            <w:pPr>
              <w:spacing w:line="360" w:lineRule="atLeast"/>
              <w:rPr>
                <w:rFonts w:ascii="宋体" w:hAnsi="宋体" w:eastAsia="宋体"/>
                <w:sz w:val="24"/>
                <w:szCs w:val="24"/>
                <w:highlight w:val="none"/>
              </w:rPr>
            </w:pPr>
          </w:p>
        </w:tc>
        <w:tc>
          <w:tcPr>
            <w:tcW w:w="2268" w:type="dxa"/>
          </w:tcPr>
          <w:p>
            <w:pPr>
              <w:spacing w:line="360" w:lineRule="atLeast"/>
              <w:rPr>
                <w:rFonts w:ascii="宋体" w:hAnsi="宋体" w:eastAsia="宋体"/>
                <w:sz w:val="24"/>
                <w:szCs w:val="24"/>
                <w:highlight w:val="none"/>
              </w:rPr>
            </w:pPr>
          </w:p>
        </w:tc>
        <w:tc>
          <w:tcPr>
            <w:tcW w:w="1418" w:type="dxa"/>
          </w:tcPr>
          <w:p>
            <w:pPr>
              <w:spacing w:line="360" w:lineRule="atLeast"/>
              <w:rPr>
                <w:rFonts w:ascii="宋体" w:hAnsi="宋体" w:eastAsia="宋体"/>
                <w:sz w:val="24"/>
                <w:szCs w:val="24"/>
                <w:highlight w:val="none"/>
              </w:rPr>
            </w:pPr>
          </w:p>
        </w:tc>
        <w:tc>
          <w:tcPr>
            <w:tcW w:w="1417" w:type="dxa"/>
          </w:tcPr>
          <w:p>
            <w:pPr>
              <w:spacing w:line="360" w:lineRule="atLeast"/>
              <w:rPr>
                <w:rFonts w:ascii="宋体" w:hAnsi="宋体" w:eastAsia="宋体"/>
                <w:sz w:val="24"/>
                <w:szCs w:val="24"/>
                <w:highlight w:val="none"/>
              </w:rPr>
            </w:pPr>
          </w:p>
        </w:tc>
      </w:tr>
    </w:tbl>
    <w:p>
      <w:pPr>
        <w:spacing w:line="360" w:lineRule="atLeast"/>
        <w:rPr>
          <w:rFonts w:ascii="宋体" w:hAnsi="宋体" w:eastAsia="宋体"/>
          <w:sz w:val="24"/>
          <w:szCs w:val="24"/>
          <w:highlight w:val="none"/>
        </w:rPr>
      </w:pPr>
    </w:p>
    <w:p>
      <w:pPr>
        <w:spacing w:line="360" w:lineRule="auto"/>
        <w:rPr>
          <w:rFonts w:ascii="宋体" w:hAnsi="宋体" w:eastAsia="宋体"/>
          <w:sz w:val="24"/>
          <w:szCs w:val="24"/>
          <w:highlight w:val="none"/>
        </w:rPr>
      </w:pPr>
      <w:r>
        <w:rPr>
          <w:rFonts w:hint="eastAsia" w:ascii="宋体" w:hAnsi="宋体" w:eastAsia="宋体"/>
          <w:sz w:val="24"/>
          <w:szCs w:val="24"/>
          <w:highlight w:val="none"/>
        </w:rPr>
        <w:t>响应</w:t>
      </w:r>
      <w:r>
        <w:rPr>
          <w:rFonts w:ascii="宋体" w:hAnsi="宋体" w:eastAsia="宋体"/>
          <w:sz w:val="24"/>
          <w:szCs w:val="24"/>
          <w:highlight w:val="none"/>
        </w:rPr>
        <w:t>人代表签字：____________________</w:t>
      </w:r>
      <w:r>
        <w:rPr>
          <w:rFonts w:hint="eastAsia" w:ascii="宋体" w:hAnsi="宋体" w:eastAsia="宋体"/>
          <w:sz w:val="24"/>
          <w:szCs w:val="24"/>
          <w:highlight w:val="none"/>
        </w:rPr>
        <w:t>（盖章）</w:t>
      </w:r>
    </w:p>
    <w:p>
      <w:pPr>
        <w:spacing w:line="360" w:lineRule="auto"/>
        <w:rPr>
          <w:rFonts w:ascii="宋体" w:hAnsi="宋体" w:eastAsia="宋体"/>
          <w:sz w:val="24"/>
          <w:szCs w:val="24"/>
          <w:highlight w:val="none"/>
        </w:rPr>
      </w:pPr>
    </w:p>
    <w:p>
      <w:pPr>
        <w:autoSpaceDE w:val="0"/>
        <w:autoSpaceDN w:val="0"/>
        <w:adjustRightInd w:val="0"/>
        <w:spacing w:line="360" w:lineRule="auto"/>
        <w:ind w:firstLine="482" w:firstLineChars="200"/>
        <w:rPr>
          <w:rFonts w:ascii="宋体" w:hAnsi="宋体" w:eastAsia="宋体" w:cs="宋体"/>
          <w:b/>
          <w:kern w:val="0"/>
          <w:sz w:val="24"/>
          <w:szCs w:val="24"/>
          <w:highlight w:val="none"/>
        </w:rPr>
      </w:pPr>
      <w:r>
        <w:rPr>
          <w:rFonts w:hint="eastAsia" w:ascii="宋体" w:hAnsi="宋体" w:eastAsia="宋体" w:cs="宋体"/>
          <w:b/>
          <w:kern w:val="0"/>
          <w:sz w:val="24"/>
          <w:szCs w:val="24"/>
          <w:highlight w:val="none"/>
        </w:rPr>
        <w:t>4</w:t>
      </w:r>
      <w:r>
        <w:rPr>
          <w:rFonts w:ascii="宋体" w:hAnsi="宋体" w:eastAsia="宋体" w:cs="宋体"/>
          <w:b/>
          <w:kern w:val="0"/>
          <w:sz w:val="24"/>
          <w:szCs w:val="24"/>
          <w:highlight w:val="none"/>
        </w:rPr>
        <w:t>、</w:t>
      </w:r>
      <w:r>
        <w:rPr>
          <w:rFonts w:hint="eastAsia" w:ascii="宋体" w:hAnsi="宋体" w:eastAsia="宋体" w:cs="宋体"/>
          <w:b/>
          <w:kern w:val="0"/>
          <w:sz w:val="24"/>
          <w:szCs w:val="24"/>
          <w:highlight w:val="none"/>
        </w:rPr>
        <w:t>响应文件要求</w:t>
      </w:r>
    </w:p>
    <w:p>
      <w:pPr>
        <w:autoSpaceDE w:val="0"/>
        <w:autoSpaceDN w:val="0"/>
        <w:adjustRightInd w:val="0"/>
        <w:spacing w:line="360"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响应人的响应文件必须按照采购书要求制作，</w:t>
      </w:r>
      <w:r>
        <w:rPr>
          <w:rFonts w:ascii="宋体" w:hAnsi="宋体" w:eastAsia="宋体" w:cs="宋体"/>
          <w:b/>
          <w:kern w:val="0"/>
          <w:sz w:val="24"/>
          <w:szCs w:val="24"/>
          <w:highlight w:val="none"/>
          <w:bdr w:val="single" w:color="auto" w:sz="4" w:space="0"/>
        </w:rPr>
        <w:t>报价文件</w:t>
      </w:r>
      <w:r>
        <w:rPr>
          <w:rFonts w:hint="eastAsia" w:ascii="宋体" w:hAnsi="宋体" w:eastAsia="宋体" w:cs="宋体"/>
          <w:b/>
          <w:kern w:val="0"/>
          <w:sz w:val="24"/>
          <w:szCs w:val="24"/>
          <w:highlight w:val="none"/>
          <w:bdr w:val="single" w:color="auto" w:sz="4" w:space="0"/>
        </w:rPr>
        <w:t>建议</w:t>
      </w:r>
      <w:r>
        <w:rPr>
          <w:rFonts w:ascii="宋体" w:hAnsi="宋体" w:eastAsia="宋体" w:cs="宋体"/>
          <w:b/>
          <w:kern w:val="0"/>
          <w:sz w:val="24"/>
          <w:szCs w:val="24"/>
          <w:highlight w:val="none"/>
          <w:bdr w:val="single" w:color="auto" w:sz="4" w:space="0"/>
        </w:rPr>
        <w:t>单独密封</w:t>
      </w:r>
      <w:r>
        <w:rPr>
          <w:rFonts w:hint="eastAsia" w:ascii="宋体" w:hAnsi="宋体" w:eastAsia="宋体" w:cs="宋体"/>
          <w:kern w:val="0"/>
          <w:sz w:val="24"/>
          <w:szCs w:val="24"/>
          <w:highlight w:val="none"/>
        </w:rPr>
        <w:t>。</w:t>
      </w:r>
    </w:p>
    <w:p>
      <w:pPr>
        <w:autoSpaceDE w:val="0"/>
        <w:autoSpaceDN w:val="0"/>
        <w:adjustRightInd w:val="0"/>
        <w:spacing w:before="100" w:beforeAutospacing="1"/>
        <w:outlineLvl w:val="0"/>
        <w:rPr>
          <w:rFonts w:ascii="宋体" w:hAnsi="宋体" w:eastAsia="宋体" w:cs="黑体"/>
          <w:kern w:val="0"/>
          <w:sz w:val="28"/>
          <w:szCs w:val="28"/>
          <w:highlight w:val="none"/>
        </w:rPr>
      </w:pPr>
      <w:r>
        <w:rPr>
          <w:rFonts w:hint="eastAsia" w:ascii="宋体" w:hAnsi="宋体" w:eastAsia="宋体" w:cs="黑体"/>
          <w:kern w:val="0"/>
          <w:sz w:val="28"/>
          <w:szCs w:val="28"/>
          <w:highlight w:val="none"/>
        </w:rPr>
        <w:t>四</w:t>
      </w:r>
      <w:r>
        <w:rPr>
          <w:rFonts w:ascii="宋体" w:hAnsi="宋体" w:eastAsia="宋体" w:cs="黑体"/>
          <w:kern w:val="0"/>
          <w:sz w:val="28"/>
          <w:szCs w:val="28"/>
          <w:highlight w:val="none"/>
        </w:rPr>
        <w:t>、评分标准</w:t>
      </w:r>
    </w:p>
    <w:p>
      <w:pPr>
        <w:autoSpaceDE w:val="0"/>
        <w:autoSpaceDN w:val="0"/>
        <w:adjustRightInd w:val="0"/>
        <w:spacing w:line="360"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评分标准见</w:t>
      </w:r>
      <w:r>
        <w:rPr>
          <w:rFonts w:ascii="宋体" w:hAnsi="宋体" w:eastAsia="宋体" w:cs="宋体"/>
          <w:kern w:val="0"/>
          <w:sz w:val="24"/>
          <w:szCs w:val="24"/>
          <w:highlight w:val="none"/>
        </w:rPr>
        <w:t>附件3</w:t>
      </w:r>
      <w:r>
        <w:rPr>
          <w:rFonts w:hint="eastAsia" w:ascii="宋体" w:hAnsi="宋体" w:eastAsia="宋体" w:cs="宋体"/>
          <w:kern w:val="0"/>
          <w:sz w:val="24"/>
          <w:szCs w:val="24"/>
          <w:highlight w:val="none"/>
        </w:rPr>
        <w:t>。</w:t>
      </w:r>
    </w:p>
    <w:p>
      <w:pPr>
        <w:autoSpaceDE w:val="0"/>
        <w:autoSpaceDN w:val="0"/>
        <w:adjustRightInd w:val="0"/>
        <w:spacing w:before="100" w:beforeAutospacing="1"/>
        <w:outlineLvl w:val="0"/>
        <w:rPr>
          <w:rFonts w:ascii="宋体" w:hAnsi="宋体" w:eastAsia="宋体" w:cs="黑体"/>
          <w:kern w:val="0"/>
          <w:sz w:val="28"/>
          <w:szCs w:val="28"/>
          <w:highlight w:val="none"/>
        </w:rPr>
      </w:pPr>
      <w:r>
        <w:rPr>
          <w:rFonts w:hint="eastAsia" w:ascii="宋体" w:hAnsi="宋体" w:eastAsia="宋体" w:cs="黑体"/>
          <w:kern w:val="0"/>
          <w:sz w:val="28"/>
          <w:szCs w:val="28"/>
          <w:highlight w:val="none"/>
        </w:rPr>
        <w:t>五、采购程序安排</w:t>
      </w:r>
    </w:p>
    <w:p>
      <w:pPr>
        <w:autoSpaceDE w:val="0"/>
        <w:autoSpaceDN w:val="0"/>
        <w:adjustRightInd w:val="0"/>
        <w:spacing w:line="360"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1、递交投标文件截止时间</w:t>
      </w:r>
    </w:p>
    <w:p>
      <w:pPr>
        <w:autoSpaceDE w:val="0"/>
        <w:autoSpaceDN w:val="0"/>
        <w:adjustRightInd w:val="0"/>
        <w:spacing w:line="360" w:lineRule="auto"/>
        <w:ind w:firstLine="480" w:firstLineChars="200"/>
        <w:rPr>
          <w:rFonts w:ascii="宋体" w:hAnsi="宋体" w:eastAsia="宋体" w:cs="宋体"/>
          <w:kern w:val="0"/>
          <w:sz w:val="24"/>
          <w:szCs w:val="24"/>
          <w:highlight w:val="none"/>
        </w:rPr>
      </w:pPr>
      <w:r>
        <w:rPr>
          <w:rFonts w:ascii="宋体" w:hAnsi="宋体" w:eastAsia="宋体" w:cs="宋体"/>
          <w:kern w:val="0"/>
          <w:sz w:val="24"/>
          <w:szCs w:val="24"/>
          <w:highlight w:val="none"/>
        </w:rPr>
        <w:t>202</w:t>
      </w: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16</w:t>
      </w:r>
      <w:r>
        <w:rPr>
          <w:rFonts w:hint="eastAsia" w:ascii="宋体" w:hAnsi="宋体" w:eastAsia="宋体" w:cs="宋体"/>
          <w:kern w:val="0"/>
          <w:sz w:val="24"/>
          <w:szCs w:val="24"/>
          <w:highlight w:val="none"/>
        </w:rPr>
        <w:t>日</w:t>
      </w:r>
      <w:r>
        <w:rPr>
          <w:rFonts w:ascii="宋体" w:hAnsi="宋体" w:eastAsia="宋体" w:cs="宋体"/>
          <w:kern w:val="0"/>
          <w:sz w:val="24"/>
          <w:szCs w:val="24"/>
          <w:highlight w:val="none"/>
        </w:rPr>
        <w:t>16</w:t>
      </w:r>
      <w:r>
        <w:rPr>
          <w:rFonts w:hint="eastAsia" w:ascii="宋体" w:hAnsi="宋体" w:eastAsia="宋体" w:cs="宋体"/>
          <w:kern w:val="0"/>
          <w:sz w:val="24"/>
          <w:szCs w:val="24"/>
          <w:highlight w:val="none"/>
        </w:rPr>
        <w:t>时30分，响应单位将响应文件加盖公章并密封后(一式三份，</w:t>
      </w:r>
      <w:r>
        <w:rPr>
          <w:rFonts w:ascii="宋体" w:hAnsi="宋体" w:eastAsia="宋体" w:cs="宋体"/>
          <w:kern w:val="0"/>
          <w:sz w:val="24"/>
          <w:szCs w:val="24"/>
          <w:highlight w:val="none"/>
        </w:rPr>
        <w:t>正</w:t>
      </w:r>
      <w:r>
        <w:rPr>
          <w:rFonts w:hint="eastAsia" w:ascii="宋体" w:hAnsi="宋体" w:eastAsia="宋体" w:cs="宋体"/>
          <w:kern w:val="0"/>
          <w:sz w:val="24"/>
          <w:szCs w:val="24"/>
          <w:highlight w:val="none"/>
        </w:rPr>
        <w:t>本</w:t>
      </w:r>
      <w:r>
        <w:rPr>
          <w:rFonts w:ascii="宋体" w:hAnsi="宋体" w:eastAsia="宋体" w:cs="宋体"/>
          <w:kern w:val="0"/>
          <w:sz w:val="24"/>
          <w:szCs w:val="24"/>
          <w:highlight w:val="none"/>
        </w:rPr>
        <w:t>一份，副本</w:t>
      </w:r>
      <w:r>
        <w:rPr>
          <w:rFonts w:hint="eastAsia" w:ascii="宋体" w:hAnsi="宋体" w:eastAsia="宋体" w:cs="宋体"/>
          <w:kern w:val="0"/>
          <w:sz w:val="24"/>
          <w:szCs w:val="24"/>
          <w:highlight w:val="none"/>
        </w:rPr>
        <w:t>两</w:t>
      </w:r>
      <w:r>
        <w:rPr>
          <w:rFonts w:ascii="宋体" w:hAnsi="宋体" w:eastAsia="宋体" w:cs="宋体"/>
          <w:kern w:val="0"/>
          <w:sz w:val="24"/>
          <w:szCs w:val="24"/>
          <w:highlight w:val="none"/>
        </w:rPr>
        <w:t>份</w:t>
      </w:r>
      <w:r>
        <w:rPr>
          <w:rFonts w:hint="eastAsia" w:ascii="宋体" w:hAnsi="宋体" w:eastAsia="宋体" w:cs="宋体"/>
          <w:kern w:val="0"/>
          <w:sz w:val="24"/>
          <w:szCs w:val="24"/>
          <w:highlight w:val="none"/>
        </w:rPr>
        <w:t>)送上海黄金交易所，地址：上海市黄浦区中山南路69</w:t>
      </w:r>
      <w:r>
        <w:rPr>
          <w:rFonts w:ascii="宋体" w:hAnsi="宋体" w:eastAsia="宋体" w:cs="宋体"/>
          <w:kern w:val="0"/>
          <w:sz w:val="24"/>
          <w:szCs w:val="24"/>
          <w:highlight w:val="none"/>
        </w:rPr>
        <w:t>9</w:t>
      </w:r>
      <w:r>
        <w:rPr>
          <w:rFonts w:hint="eastAsia" w:ascii="宋体" w:hAnsi="宋体" w:eastAsia="宋体" w:cs="宋体"/>
          <w:kern w:val="0"/>
          <w:sz w:val="24"/>
          <w:szCs w:val="24"/>
          <w:highlight w:val="none"/>
        </w:rPr>
        <w:t>号9楼，接收人：吕女士，</w:t>
      </w:r>
      <w:r>
        <w:rPr>
          <w:rFonts w:ascii="宋体" w:hAnsi="宋体" w:eastAsia="宋体" w:cs="宋体"/>
          <w:kern w:val="0"/>
          <w:sz w:val="24"/>
          <w:szCs w:val="24"/>
          <w:highlight w:val="none"/>
        </w:rPr>
        <w:t>33128766</w:t>
      </w:r>
      <w:r>
        <w:rPr>
          <w:rFonts w:hint="eastAsia" w:ascii="宋体" w:hAnsi="宋体" w:eastAsia="宋体" w:cs="宋体"/>
          <w:kern w:val="0"/>
          <w:sz w:val="24"/>
          <w:szCs w:val="24"/>
          <w:highlight w:val="none"/>
        </w:rPr>
        <w:t>。建议请附上联系人名片。</w:t>
      </w:r>
    </w:p>
    <w:p>
      <w:pPr>
        <w:autoSpaceDE w:val="0"/>
        <w:autoSpaceDN w:val="0"/>
        <w:adjustRightInd w:val="0"/>
        <w:spacing w:line="360" w:lineRule="auto"/>
        <w:ind w:firstLine="480" w:firstLineChars="200"/>
        <w:rPr>
          <w:rFonts w:ascii="宋体" w:hAnsi="宋体" w:eastAsia="宋体" w:cs="宋体"/>
          <w:kern w:val="0"/>
          <w:sz w:val="24"/>
          <w:szCs w:val="24"/>
          <w:highlight w:val="none"/>
        </w:rPr>
      </w:pPr>
      <w:r>
        <w:rPr>
          <w:rFonts w:ascii="宋体" w:hAnsi="宋体" w:eastAsia="宋体" w:cs="宋体"/>
          <w:kern w:val="0"/>
          <w:sz w:val="24"/>
          <w:szCs w:val="24"/>
          <w:highlight w:val="none"/>
        </w:rPr>
        <w:t>2</w:t>
      </w:r>
      <w:r>
        <w:rPr>
          <w:rFonts w:hint="eastAsia" w:ascii="宋体" w:hAnsi="宋体" w:eastAsia="宋体" w:cs="宋体"/>
          <w:kern w:val="0"/>
          <w:sz w:val="24"/>
          <w:szCs w:val="24"/>
          <w:highlight w:val="none"/>
        </w:rPr>
        <w:t>、上金所账户信息：</w:t>
      </w:r>
      <w:bookmarkStart w:id="4" w:name="_GoBack"/>
      <w:bookmarkEnd w:id="4"/>
    </w:p>
    <w:p>
      <w:pPr>
        <w:autoSpaceDE w:val="0"/>
        <w:autoSpaceDN w:val="0"/>
        <w:adjustRightInd w:val="0"/>
        <w:spacing w:line="360" w:lineRule="auto"/>
        <w:ind w:firstLine="482" w:firstLineChars="200"/>
        <w:rPr>
          <w:rFonts w:ascii="宋体" w:hAnsi="宋体" w:eastAsia="宋体" w:cs="宋体"/>
          <w:kern w:val="0"/>
          <w:sz w:val="24"/>
          <w:szCs w:val="24"/>
          <w:highlight w:val="none"/>
        </w:rPr>
      </w:pPr>
      <w:r>
        <w:rPr>
          <w:rFonts w:hint="eastAsia" w:ascii="宋体" w:hAnsi="宋体" w:eastAsia="宋体" w:cs="宋体"/>
          <w:b/>
          <w:kern w:val="0"/>
          <w:sz w:val="24"/>
          <w:szCs w:val="24"/>
          <w:highlight w:val="none"/>
        </w:rPr>
        <w:t>单位名称</w:t>
      </w:r>
      <w:r>
        <w:rPr>
          <w:rFonts w:hint="eastAsia" w:ascii="宋体" w:hAnsi="宋体" w:eastAsia="宋体" w:cs="宋体"/>
          <w:kern w:val="0"/>
          <w:sz w:val="24"/>
          <w:szCs w:val="24"/>
          <w:highlight w:val="none"/>
        </w:rPr>
        <w:t>：上海黄金交易所</w:t>
      </w:r>
    </w:p>
    <w:p>
      <w:pPr>
        <w:autoSpaceDE w:val="0"/>
        <w:autoSpaceDN w:val="0"/>
        <w:adjustRightInd w:val="0"/>
        <w:spacing w:line="360" w:lineRule="auto"/>
        <w:ind w:firstLine="482" w:firstLineChars="200"/>
        <w:rPr>
          <w:rFonts w:ascii="宋体" w:hAnsi="宋体" w:eastAsia="宋体" w:cs="宋体"/>
          <w:kern w:val="0"/>
          <w:sz w:val="24"/>
          <w:szCs w:val="24"/>
          <w:highlight w:val="none"/>
        </w:rPr>
      </w:pPr>
      <w:r>
        <w:rPr>
          <w:rFonts w:hint="eastAsia" w:ascii="宋体" w:hAnsi="宋体" w:eastAsia="宋体" w:cs="宋体"/>
          <w:b/>
          <w:kern w:val="0"/>
          <w:sz w:val="24"/>
          <w:szCs w:val="24"/>
          <w:highlight w:val="none"/>
        </w:rPr>
        <w:t>开户银行</w:t>
      </w:r>
      <w:r>
        <w:rPr>
          <w:rFonts w:hint="eastAsia" w:ascii="宋体" w:hAnsi="宋体" w:eastAsia="宋体" w:cs="宋体"/>
          <w:kern w:val="0"/>
          <w:sz w:val="24"/>
          <w:szCs w:val="24"/>
          <w:highlight w:val="none"/>
        </w:rPr>
        <w:t>：中国工商银行浦东分行</w:t>
      </w:r>
    </w:p>
    <w:p>
      <w:pPr>
        <w:autoSpaceDE w:val="0"/>
        <w:autoSpaceDN w:val="0"/>
        <w:adjustRightInd w:val="0"/>
        <w:spacing w:line="360" w:lineRule="auto"/>
        <w:ind w:firstLine="482" w:firstLineChars="200"/>
        <w:rPr>
          <w:rFonts w:ascii="宋体" w:hAnsi="宋体" w:eastAsia="宋体" w:cs="宋体"/>
          <w:kern w:val="0"/>
          <w:sz w:val="24"/>
          <w:szCs w:val="24"/>
          <w:highlight w:val="none"/>
        </w:rPr>
      </w:pPr>
      <w:r>
        <w:rPr>
          <w:rFonts w:hint="eastAsia" w:ascii="宋体" w:hAnsi="宋体" w:eastAsia="宋体" w:cs="宋体"/>
          <w:b/>
          <w:kern w:val="0"/>
          <w:sz w:val="24"/>
          <w:szCs w:val="24"/>
          <w:highlight w:val="none"/>
        </w:rPr>
        <w:t>账号</w:t>
      </w:r>
      <w:r>
        <w:rPr>
          <w:rFonts w:hint="eastAsia" w:ascii="宋体" w:hAnsi="宋体" w:eastAsia="宋体" w:cs="宋体"/>
          <w:kern w:val="0"/>
          <w:sz w:val="24"/>
          <w:szCs w:val="24"/>
          <w:highlight w:val="none"/>
        </w:rPr>
        <w:t>：1001280909000000163</w:t>
      </w:r>
    </w:p>
    <w:p>
      <w:pPr>
        <w:autoSpaceDE w:val="0"/>
        <w:autoSpaceDN w:val="0"/>
        <w:adjustRightInd w:val="0"/>
        <w:spacing w:line="360" w:lineRule="auto"/>
        <w:ind w:right="480" w:firstLine="482" w:firstLineChars="200"/>
        <w:rPr>
          <w:rFonts w:ascii="宋体" w:hAnsi="宋体" w:eastAsia="宋体" w:cs="宋体"/>
          <w:kern w:val="0"/>
          <w:sz w:val="24"/>
          <w:szCs w:val="24"/>
          <w:highlight w:val="none"/>
        </w:rPr>
      </w:pPr>
      <w:r>
        <w:rPr>
          <w:rFonts w:hint="eastAsia" w:ascii="宋体" w:hAnsi="宋体" w:eastAsia="宋体"/>
          <w:b/>
          <w:sz w:val="24"/>
          <w:szCs w:val="24"/>
          <w:highlight w:val="none"/>
        </w:rPr>
        <w:t>3、</w:t>
      </w:r>
      <w:r>
        <w:rPr>
          <w:rFonts w:ascii="宋体" w:hAnsi="宋体" w:eastAsia="宋体" w:cs="宋体"/>
          <w:b/>
          <w:kern w:val="0"/>
          <w:sz w:val="24"/>
          <w:szCs w:val="24"/>
          <w:highlight w:val="none"/>
        </w:rPr>
        <w:t>中标人在中标后须提交</w:t>
      </w:r>
      <w:r>
        <w:rPr>
          <w:rFonts w:hint="eastAsia" w:ascii="宋体" w:hAnsi="宋体" w:eastAsia="宋体" w:cs="宋体"/>
          <w:b/>
          <w:kern w:val="0"/>
          <w:sz w:val="24"/>
          <w:szCs w:val="24"/>
          <w:highlight w:val="none"/>
        </w:rPr>
        <w:t>加盖公章的资质文件P</w:t>
      </w:r>
      <w:r>
        <w:rPr>
          <w:rFonts w:ascii="宋体" w:hAnsi="宋体" w:eastAsia="宋体" w:cs="宋体"/>
          <w:b/>
          <w:kern w:val="0"/>
          <w:sz w:val="24"/>
          <w:szCs w:val="24"/>
          <w:highlight w:val="none"/>
        </w:rPr>
        <w:t>DF版本</w:t>
      </w:r>
      <w:r>
        <w:rPr>
          <w:rFonts w:hint="eastAsia" w:ascii="宋体" w:hAnsi="宋体" w:eastAsia="宋体"/>
          <w:b/>
          <w:sz w:val="24"/>
          <w:szCs w:val="24"/>
          <w:highlight w:val="none"/>
        </w:rPr>
        <w:t>。</w:t>
      </w:r>
    </w:p>
    <w:p>
      <w:pPr>
        <w:autoSpaceDE w:val="0"/>
        <w:autoSpaceDN w:val="0"/>
        <w:adjustRightInd w:val="0"/>
        <w:spacing w:line="360" w:lineRule="auto"/>
        <w:ind w:right="480" w:firstLine="5160" w:firstLineChars="2150"/>
        <w:rPr>
          <w:rFonts w:ascii="宋体" w:hAnsi="宋体" w:eastAsia="宋体" w:cs="宋体"/>
          <w:kern w:val="0"/>
          <w:sz w:val="24"/>
          <w:szCs w:val="24"/>
          <w:highlight w:val="none"/>
        </w:rPr>
      </w:pPr>
      <w:r>
        <w:rPr>
          <w:rFonts w:hint="eastAsia" w:ascii="宋体" w:hAnsi="宋体" w:eastAsia="宋体" w:cs="宋体"/>
          <w:kern w:val="0"/>
          <w:sz w:val="24"/>
          <w:szCs w:val="24"/>
          <w:highlight w:val="none"/>
        </w:rPr>
        <w:t>上海黄金交易所</w:t>
      </w:r>
    </w:p>
    <w:p>
      <w:pPr>
        <w:autoSpaceDE w:val="0"/>
        <w:autoSpaceDN w:val="0"/>
        <w:adjustRightInd w:val="0"/>
        <w:spacing w:line="360" w:lineRule="auto"/>
        <w:ind w:right="480" w:firstLine="5244" w:firstLineChars="2185"/>
        <w:rPr>
          <w:rFonts w:ascii="宋体" w:hAnsi="宋体" w:eastAsia="宋体" w:cs="宋体"/>
          <w:kern w:val="0"/>
          <w:sz w:val="24"/>
          <w:szCs w:val="24"/>
          <w:highlight w:val="none"/>
        </w:rPr>
      </w:pPr>
      <w:r>
        <w:rPr>
          <w:rFonts w:ascii="宋体" w:hAnsi="宋体" w:eastAsia="宋体" w:cs="宋体"/>
          <w:kern w:val="0"/>
          <w:sz w:val="24"/>
          <w:szCs w:val="24"/>
          <w:highlight w:val="none"/>
        </w:rPr>
        <w:t>202</w:t>
      </w: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9</w:t>
      </w:r>
      <w:r>
        <w:rPr>
          <w:rFonts w:hint="eastAsia" w:ascii="宋体" w:hAnsi="宋体" w:eastAsia="宋体" w:cs="宋体"/>
          <w:kern w:val="0"/>
          <w:sz w:val="24"/>
          <w:szCs w:val="24"/>
          <w:highlight w:val="none"/>
        </w:rPr>
        <w:t>日</w:t>
      </w:r>
      <w:r>
        <w:rPr>
          <w:rFonts w:ascii="宋体" w:hAnsi="宋体" w:eastAsia="宋体" w:cs="宋体"/>
          <w:kern w:val="0"/>
          <w:sz w:val="24"/>
          <w:szCs w:val="24"/>
          <w:highlight w:val="none"/>
        </w:rPr>
        <w:br w:type="page"/>
      </w:r>
    </w:p>
    <w:p>
      <w:pPr>
        <w:autoSpaceDE w:val="0"/>
        <w:autoSpaceDN w:val="0"/>
        <w:adjustRightInd w:val="0"/>
        <w:spacing w:before="100" w:beforeAutospacing="1"/>
        <w:outlineLvl w:val="0"/>
        <w:rPr>
          <w:rFonts w:ascii="宋体" w:hAnsi="宋体" w:eastAsia="宋体" w:cs="黑体"/>
          <w:kern w:val="0"/>
          <w:sz w:val="28"/>
          <w:szCs w:val="28"/>
          <w:highlight w:val="none"/>
        </w:rPr>
      </w:pPr>
      <w:r>
        <w:rPr>
          <w:rFonts w:hint="eastAsia" w:ascii="宋体" w:hAnsi="宋体" w:eastAsia="宋体" w:cs="黑体"/>
          <w:kern w:val="0"/>
          <w:sz w:val="28"/>
          <w:szCs w:val="28"/>
          <w:highlight w:val="none"/>
        </w:rPr>
        <w:t>六</w:t>
      </w:r>
      <w:r>
        <w:rPr>
          <w:rFonts w:ascii="宋体" w:hAnsi="宋体" w:eastAsia="宋体" w:cs="黑体"/>
          <w:kern w:val="0"/>
          <w:sz w:val="28"/>
          <w:szCs w:val="28"/>
          <w:highlight w:val="none"/>
        </w:rPr>
        <w:t>、</w:t>
      </w:r>
      <w:r>
        <w:rPr>
          <w:rFonts w:hint="eastAsia" w:ascii="宋体" w:hAnsi="宋体" w:eastAsia="宋体" w:cs="黑体"/>
          <w:kern w:val="0"/>
          <w:sz w:val="28"/>
          <w:szCs w:val="28"/>
          <w:highlight w:val="none"/>
        </w:rPr>
        <w:t>附  件</w:t>
      </w:r>
    </w:p>
    <w:p>
      <w:pPr>
        <w:pStyle w:val="10"/>
        <w:jc w:val="both"/>
        <w:rPr>
          <w:rFonts w:ascii="宋体" w:hAnsi="宋体"/>
          <w:b w:val="0"/>
          <w:sz w:val="24"/>
          <w:szCs w:val="24"/>
          <w:highlight w:val="none"/>
        </w:rPr>
      </w:pPr>
      <w:r>
        <w:rPr>
          <w:rFonts w:hint="eastAsia" w:ascii="宋体" w:hAnsi="宋体"/>
          <w:b w:val="0"/>
          <w:sz w:val="24"/>
          <w:szCs w:val="24"/>
          <w:highlight w:val="none"/>
        </w:rPr>
        <w:t>附件</w:t>
      </w:r>
      <w:r>
        <w:rPr>
          <w:rFonts w:ascii="宋体" w:hAnsi="宋体"/>
          <w:b w:val="0"/>
          <w:sz w:val="24"/>
          <w:szCs w:val="24"/>
          <w:highlight w:val="none"/>
        </w:rPr>
        <w:t>1</w:t>
      </w:r>
      <w:r>
        <w:rPr>
          <w:rFonts w:hint="eastAsia" w:ascii="宋体" w:hAnsi="宋体"/>
          <w:b w:val="0"/>
          <w:sz w:val="24"/>
          <w:szCs w:val="24"/>
          <w:highlight w:val="none"/>
        </w:rPr>
        <w:t>：技术需求</w:t>
      </w:r>
    </w:p>
    <w:p>
      <w:pPr>
        <w:spacing w:before="100" w:beforeAutospacing="1" w:after="100" w:afterAutospacing="1"/>
        <w:jc w:val="center"/>
        <w:rPr>
          <w:rFonts w:hint="eastAsia" w:ascii="宋体" w:hAnsi="宋体" w:eastAsia="宋体"/>
          <w:b/>
          <w:sz w:val="32"/>
          <w:szCs w:val="32"/>
          <w:highlight w:val="none"/>
        </w:rPr>
      </w:pPr>
      <w:r>
        <w:rPr>
          <w:rFonts w:hint="eastAsia" w:ascii="宋体" w:hAnsi="宋体" w:eastAsia="宋体"/>
          <w:b/>
          <w:sz w:val="32"/>
          <w:szCs w:val="32"/>
          <w:highlight w:val="none"/>
        </w:rPr>
        <w:t>项目技术需求</w:t>
      </w:r>
    </w:p>
    <w:p>
      <w:pPr>
        <w:pStyle w:val="19"/>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配置需求</w:t>
      </w:r>
    </w:p>
    <w:p>
      <w:pPr>
        <w:pStyle w:val="19"/>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投标产品需为国产的原厂全新产品，无任何翻新、返修等情况。</w:t>
      </w:r>
    </w:p>
    <w:p>
      <w:pPr>
        <w:pStyle w:val="19"/>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采用NTP协议一级时钟源，支持单独接收北斗。</w:t>
      </w:r>
    </w:p>
    <w:p>
      <w:pPr>
        <w:pStyle w:val="19"/>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具有闰秒友好功能，可以使得整个网络平稳度过闰秒调整。</w:t>
      </w:r>
    </w:p>
    <w:p>
      <w:pPr>
        <w:pStyle w:val="19"/>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具有独立的设备管理网口，设备面板上显著位置有状态指示灯，信息显示屏上可显示设备的健康状态，时钟系统故障有告警信息送出。</w:t>
      </w:r>
    </w:p>
    <w:p>
      <w:pPr>
        <w:pStyle w:val="19"/>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三年7×24×4原厂设备维保（4小时原厂工程师到现场）,确定问题后，备件4小时内到场。</w:t>
      </w:r>
    </w:p>
    <w:p>
      <w:pPr>
        <w:pStyle w:val="19"/>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原厂完成指定机房天线线缆安装部署，提供可移动的天线配架符合要求。</w:t>
      </w:r>
    </w:p>
    <w:p>
      <w:pPr>
        <w:pStyle w:val="19"/>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支持统一管理软件，可监测时钟专用服务器与客户端校时情况。</w:t>
      </w:r>
    </w:p>
    <w:p>
      <w:pPr>
        <w:pStyle w:val="19"/>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设备硬件、软件安装调试原厂服务。</w:t>
      </w:r>
    </w:p>
    <w:p>
      <w:pPr>
        <w:pStyle w:val="19"/>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支持主流监控软件，例如ZABBIX，支持SNMP协议，有相应的MIB库。</w:t>
      </w:r>
    </w:p>
    <w:p>
      <w:pPr>
        <w:pStyle w:val="19"/>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交货地点：上海。</w:t>
      </w:r>
    </w:p>
    <w:p>
      <w:pPr>
        <w:pStyle w:val="19"/>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交货时间：2024年根据客户提前30天通知再指定时间完成到货。</w:t>
      </w:r>
    </w:p>
    <w:p>
      <w:pPr>
        <w:pStyle w:val="1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textAlignment w:val="auto"/>
        <w:rPr>
          <w:rFonts w:hint="eastAsia" w:ascii="宋体" w:hAnsi="宋体" w:eastAsia="宋体" w:cs="宋体"/>
          <w:sz w:val="24"/>
          <w:szCs w:val="24"/>
        </w:rPr>
      </w:pPr>
    </w:p>
    <w:p>
      <w:pPr>
        <w:pStyle w:val="19"/>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参数需求</w:t>
      </w:r>
    </w:p>
    <w:tbl>
      <w:tblPr>
        <w:tblStyle w:val="13"/>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799"/>
        <w:gridCol w:w="4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80" w:type="dxa"/>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机架式类型</w:t>
            </w:r>
          </w:p>
        </w:tc>
        <w:tc>
          <w:tcPr>
            <w:tcW w:w="1080" w:type="dxa"/>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台数</w:t>
            </w:r>
          </w:p>
        </w:tc>
        <w:tc>
          <w:tcPr>
            <w:tcW w:w="1799" w:type="dxa"/>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部件名</w:t>
            </w:r>
          </w:p>
        </w:tc>
        <w:tc>
          <w:tcPr>
            <w:tcW w:w="4541" w:type="dxa"/>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部件描述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Merge w:val="restart"/>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时钟专用服务器</w:t>
            </w:r>
          </w:p>
        </w:tc>
        <w:tc>
          <w:tcPr>
            <w:tcW w:w="1080" w:type="dxa"/>
            <w:vMerge w:val="restart"/>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799" w:type="dxa"/>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操作系统</w:t>
            </w:r>
          </w:p>
        </w:tc>
        <w:tc>
          <w:tcPr>
            <w:tcW w:w="4541" w:type="dxa"/>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基于Linux内核的国产操作系统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Merge w:val="continue"/>
            <w:vAlign w:val="center"/>
          </w:tcPr>
          <w:p>
            <w:pPr>
              <w:widowControl/>
              <w:jc w:val="left"/>
              <w:rPr>
                <w:rFonts w:hint="eastAsia" w:ascii="宋体" w:hAnsi="宋体" w:eastAsia="宋体" w:cs="宋体"/>
                <w:color w:val="000000"/>
                <w:kern w:val="0"/>
                <w:sz w:val="24"/>
                <w:szCs w:val="24"/>
              </w:rPr>
            </w:pPr>
          </w:p>
        </w:tc>
        <w:tc>
          <w:tcPr>
            <w:tcW w:w="1080" w:type="dxa"/>
            <w:vMerge w:val="continue"/>
            <w:vAlign w:val="center"/>
          </w:tcPr>
          <w:p>
            <w:pPr>
              <w:widowControl/>
              <w:jc w:val="left"/>
              <w:rPr>
                <w:rFonts w:hint="eastAsia" w:ascii="宋体" w:hAnsi="宋体" w:eastAsia="宋体" w:cs="宋体"/>
                <w:color w:val="000000"/>
                <w:kern w:val="0"/>
                <w:sz w:val="24"/>
                <w:szCs w:val="24"/>
              </w:rPr>
            </w:pPr>
          </w:p>
        </w:tc>
        <w:tc>
          <w:tcPr>
            <w:tcW w:w="1799" w:type="dxa"/>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处理器</w:t>
            </w:r>
          </w:p>
        </w:tc>
        <w:tc>
          <w:tcPr>
            <w:tcW w:w="4541" w:type="dxa"/>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国产处理器芯片，如龙芯、海光、飞腾、鲲鹏等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80" w:type="dxa"/>
            <w:vMerge w:val="continue"/>
            <w:vAlign w:val="center"/>
          </w:tcPr>
          <w:p>
            <w:pPr>
              <w:widowControl/>
              <w:jc w:val="left"/>
              <w:rPr>
                <w:rFonts w:hint="eastAsia" w:ascii="宋体" w:hAnsi="宋体" w:eastAsia="宋体" w:cs="宋体"/>
                <w:color w:val="000000"/>
                <w:kern w:val="0"/>
                <w:sz w:val="24"/>
                <w:szCs w:val="24"/>
              </w:rPr>
            </w:pPr>
          </w:p>
        </w:tc>
        <w:tc>
          <w:tcPr>
            <w:tcW w:w="1080" w:type="dxa"/>
            <w:vMerge w:val="continue"/>
            <w:vAlign w:val="center"/>
          </w:tcPr>
          <w:p>
            <w:pPr>
              <w:widowControl/>
              <w:jc w:val="left"/>
              <w:rPr>
                <w:rFonts w:hint="eastAsia" w:ascii="宋体" w:hAnsi="宋体" w:eastAsia="宋体" w:cs="宋体"/>
                <w:color w:val="000000"/>
                <w:kern w:val="0"/>
                <w:sz w:val="24"/>
                <w:szCs w:val="24"/>
              </w:rPr>
            </w:pPr>
          </w:p>
        </w:tc>
        <w:tc>
          <w:tcPr>
            <w:tcW w:w="1799" w:type="dxa"/>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NTP接口</w:t>
            </w:r>
          </w:p>
        </w:tc>
        <w:tc>
          <w:tcPr>
            <w:tcW w:w="4541" w:type="dxa"/>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≥4个独立千兆自适应网口</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≥2个SFP接口（支持GE、10GE光/电模块），满配模块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Merge w:val="continue"/>
            <w:vAlign w:val="center"/>
          </w:tcPr>
          <w:p>
            <w:pPr>
              <w:widowControl/>
              <w:jc w:val="left"/>
              <w:rPr>
                <w:rFonts w:hint="eastAsia" w:ascii="宋体" w:hAnsi="宋体" w:eastAsia="宋体" w:cs="宋体"/>
                <w:color w:val="000000"/>
                <w:kern w:val="0"/>
                <w:sz w:val="24"/>
                <w:szCs w:val="24"/>
              </w:rPr>
            </w:pPr>
          </w:p>
        </w:tc>
        <w:tc>
          <w:tcPr>
            <w:tcW w:w="1080" w:type="dxa"/>
            <w:vMerge w:val="continue"/>
            <w:vAlign w:val="center"/>
          </w:tcPr>
          <w:p>
            <w:pPr>
              <w:widowControl/>
              <w:jc w:val="left"/>
              <w:rPr>
                <w:rFonts w:hint="eastAsia" w:ascii="宋体" w:hAnsi="宋体" w:eastAsia="宋体" w:cs="宋体"/>
                <w:color w:val="000000"/>
                <w:kern w:val="0"/>
                <w:sz w:val="24"/>
                <w:szCs w:val="24"/>
              </w:rPr>
            </w:pPr>
          </w:p>
        </w:tc>
        <w:tc>
          <w:tcPr>
            <w:tcW w:w="1799" w:type="dxa"/>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铷原子钟</w:t>
            </w:r>
          </w:p>
        </w:tc>
        <w:tc>
          <w:tcPr>
            <w:tcW w:w="4541" w:type="dxa"/>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内置铷原子钟，守时精度&lt;500ns（天）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Merge w:val="continue"/>
            <w:vAlign w:val="center"/>
          </w:tcPr>
          <w:p>
            <w:pPr>
              <w:widowControl/>
              <w:jc w:val="left"/>
              <w:rPr>
                <w:rFonts w:hint="eastAsia" w:ascii="宋体" w:hAnsi="宋体" w:eastAsia="宋体" w:cs="宋体"/>
                <w:color w:val="000000"/>
                <w:kern w:val="0"/>
                <w:sz w:val="24"/>
                <w:szCs w:val="24"/>
              </w:rPr>
            </w:pPr>
          </w:p>
        </w:tc>
        <w:tc>
          <w:tcPr>
            <w:tcW w:w="1080" w:type="dxa"/>
            <w:vMerge w:val="continue"/>
            <w:vAlign w:val="center"/>
          </w:tcPr>
          <w:p>
            <w:pPr>
              <w:widowControl/>
              <w:jc w:val="left"/>
              <w:rPr>
                <w:rFonts w:hint="eastAsia" w:ascii="宋体" w:hAnsi="宋体" w:eastAsia="宋体" w:cs="宋体"/>
                <w:color w:val="000000"/>
                <w:kern w:val="0"/>
                <w:sz w:val="24"/>
                <w:szCs w:val="24"/>
              </w:rPr>
            </w:pPr>
          </w:p>
        </w:tc>
        <w:tc>
          <w:tcPr>
            <w:tcW w:w="1799" w:type="dxa"/>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1PPS精度</w:t>
            </w:r>
          </w:p>
        </w:tc>
        <w:tc>
          <w:tcPr>
            <w:tcW w:w="4541" w:type="dxa"/>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连接北斗时接收精度&lt;1us，输出1PPS相对UTC偏差&lt;10ns(RMS)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Merge w:val="continue"/>
            <w:vAlign w:val="center"/>
          </w:tcPr>
          <w:p>
            <w:pPr>
              <w:widowControl/>
              <w:jc w:val="left"/>
              <w:rPr>
                <w:rFonts w:hint="eastAsia" w:ascii="宋体" w:hAnsi="宋体" w:eastAsia="宋体" w:cs="宋体"/>
                <w:color w:val="000000"/>
                <w:kern w:val="0"/>
                <w:sz w:val="24"/>
                <w:szCs w:val="24"/>
              </w:rPr>
            </w:pPr>
          </w:p>
        </w:tc>
        <w:tc>
          <w:tcPr>
            <w:tcW w:w="1080" w:type="dxa"/>
            <w:vMerge w:val="continue"/>
            <w:vAlign w:val="center"/>
          </w:tcPr>
          <w:p>
            <w:pPr>
              <w:widowControl/>
              <w:jc w:val="left"/>
              <w:rPr>
                <w:rFonts w:hint="eastAsia" w:ascii="宋体" w:hAnsi="宋体" w:eastAsia="宋体" w:cs="宋体"/>
                <w:color w:val="000000"/>
                <w:kern w:val="0"/>
                <w:sz w:val="24"/>
                <w:szCs w:val="24"/>
              </w:rPr>
            </w:pPr>
          </w:p>
        </w:tc>
        <w:tc>
          <w:tcPr>
            <w:tcW w:w="1799" w:type="dxa"/>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授时精度</w:t>
            </w:r>
          </w:p>
        </w:tc>
        <w:tc>
          <w:tcPr>
            <w:tcW w:w="4541" w:type="dxa"/>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&lt;10ms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80" w:type="dxa"/>
            <w:vMerge w:val="continue"/>
            <w:vAlign w:val="center"/>
          </w:tcPr>
          <w:p>
            <w:pPr>
              <w:widowControl/>
              <w:jc w:val="left"/>
              <w:rPr>
                <w:rFonts w:hint="eastAsia" w:ascii="宋体" w:hAnsi="宋体" w:eastAsia="宋体" w:cs="宋体"/>
                <w:color w:val="000000"/>
                <w:kern w:val="0"/>
                <w:sz w:val="24"/>
                <w:szCs w:val="24"/>
              </w:rPr>
            </w:pPr>
          </w:p>
        </w:tc>
        <w:tc>
          <w:tcPr>
            <w:tcW w:w="1080" w:type="dxa"/>
            <w:vMerge w:val="continue"/>
            <w:vAlign w:val="center"/>
          </w:tcPr>
          <w:p>
            <w:pPr>
              <w:widowControl/>
              <w:jc w:val="left"/>
              <w:rPr>
                <w:rFonts w:hint="eastAsia" w:ascii="宋体" w:hAnsi="宋体" w:eastAsia="宋体" w:cs="宋体"/>
                <w:color w:val="000000"/>
                <w:kern w:val="0"/>
                <w:sz w:val="24"/>
                <w:szCs w:val="24"/>
              </w:rPr>
            </w:pPr>
          </w:p>
        </w:tc>
        <w:tc>
          <w:tcPr>
            <w:tcW w:w="1799" w:type="dxa"/>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每秒可处理请求数</w:t>
            </w:r>
          </w:p>
        </w:tc>
        <w:tc>
          <w:tcPr>
            <w:tcW w:w="4541" w:type="dxa"/>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&gt;15000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Merge w:val="continue"/>
            <w:vAlign w:val="center"/>
          </w:tcPr>
          <w:p>
            <w:pPr>
              <w:widowControl/>
              <w:jc w:val="left"/>
              <w:rPr>
                <w:rFonts w:hint="eastAsia" w:ascii="宋体" w:hAnsi="宋体" w:eastAsia="宋体" w:cs="宋体"/>
                <w:color w:val="000000"/>
                <w:kern w:val="0"/>
                <w:sz w:val="24"/>
                <w:szCs w:val="24"/>
              </w:rPr>
            </w:pPr>
          </w:p>
        </w:tc>
        <w:tc>
          <w:tcPr>
            <w:tcW w:w="1080" w:type="dxa"/>
            <w:vMerge w:val="continue"/>
            <w:vAlign w:val="center"/>
          </w:tcPr>
          <w:p>
            <w:pPr>
              <w:widowControl/>
              <w:jc w:val="left"/>
              <w:rPr>
                <w:rFonts w:hint="eastAsia" w:ascii="宋体" w:hAnsi="宋体" w:eastAsia="宋体" w:cs="宋体"/>
                <w:color w:val="000000"/>
                <w:kern w:val="0"/>
                <w:sz w:val="24"/>
                <w:szCs w:val="24"/>
              </w:rPr>
            </w:pPr>
          </w:p>
        </w:tc>
        <w:tc>
          <w:tcPr>
            <w:tcW w:w="1799" w:type="dxa"/>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校时天线</w:t>
            </w:r>
          </w:p>
        </w:tc>
        <w:tc>
          <w:tcPr>
            <w:tcW w:w="4541" w:type="dxa"/>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配套外置校时天线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vMerge w:val="continue"/>
            <w:vAlign w:val="center"/>
          </w:tcPr>
          <w:p>
            <w:pPr>
              <w:widowControl/>
              <w:jc w:val="left"/>
              <w:rPr>
                <w:rFonts w:hint="eastAsia" w:ascii="宋体" w:hAnsi="宋体" w:eastAsia="宋体" w:cs="宋体"/>
                <w:color w:val="000000"/>
                <w:kern w:val="0"/>
                <w:sz w:val="24"/>
                <w:szCs w:val="24"/>
              </w:rPr>
            </w:pPr>
          </w:p>
        </w:tc>
        <w:tc>
          <w:tcPr>
            <w:tcW w:w="1080" w:type="dxa"/>
            <w:vMerge w:val="continue"/>
            <w:vAlign w:val="center"/>
          </w:tcPr>
          <w:p>
            <w:pPr>
              <w:widowControl/>
              <w:jc w:val="left"/>
              <w:rPr>
                <w:rFonts w:hint="eastAsia" w:ascii="宋体" w:hAnsi="宋体" w:eastAsia="宋体" w:cs="宋体"/>
                <w:color w:val="000000"/>
                <w:kern w:val="0"/>
                <w:sz w:val="24"/>
                <w:szCs w:val="24"/>
              </w:rPr>
            </w:pPr>
          </w:p>
        </w:tc>
        <w:tc>
          <w:tcPr>
            <w:tcW w:w="1799" w:type="dxa"/>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电源</w:t>
            </w:r>
          </w:p>
        </w:tc>
        <w:tc>
          <w:tcPr>
            <w:tcW w:w="4541" w:type="dxa"/>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双电源，C13-C14接口电源线</w:t>
            </w:r>
          </w:p>
        </w:tc>
      </w:tr>
    </w:tbl>
    <w:p>
      <w:pPr>
        <w:rPr>
          <w:rFonts w:hint="eastAsia" w:ascii="宋体" w:hAnsi="宋体" w:eastAsia="宋体" w:cs="宋体"/>
          <w:sz w:val="24"/>
          <w:szCs w:val="24"/>
        </w:rPr>
      </w:pPr>
    </w:p>
    <w:p>
      <w:pPr>
        <w:rPr>
          <w:rFonts w:hint="eastAsia" w:ascii="宋体" w:hAnsi="宋体" w:eastAsia="宋体" w:cs="宋体"/>
          <w:sz w:val="24"/>
          <w:szCs w:val="24"/>
        </w:rPr>
      </w:pPr>
    </w:p>
    <w:p>
      <w:pPr>
        <w:pStyle w:val="19"/>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原厂服务SLA需求</w:t>
      </w:r>
    </w:p>
    <w:tbl>
      <w:tblPr>
        <w:tblStyle w:val="13"/>
        <w:tblW w:w="5000" w:type="pct"/>
        <w:tblInd w:w="0" w:type="dxa"/>
        <w:tblLayout w:type="autofit"/>
        <w:tblCellMar>
          <w:top w:w="0" w:type="dxa"/>
          <w:left w:w="108" w:type="dxa"/>
          <w:bottom w:w="0" w:type="dxa"/>
          <w:right w:w="108" w:type="dxa"/>
        </w:tblCellMar>
      </w:tblPr>
      <w:tblGrid>
        <w:gridCol w:w="1761"/>
        <w:gridCol w:w="1837"/>
        <w:gridCol w:w="4924"/>
      </w:tblGrid>
      <w:tr>
        <w:tblPrEx>
          <w:tblCellMar>
            <w:top w:w="0" w:type="dxa"/>
            <w:left w:w="108" w:type="dxa"/>
            <w:bottom w:w="0" w:type="dxa"/>
            <w:right w:w="108" w:type="dxa"/>
          </w:tblCellMar>
        </w:tblPrEx>
        <w:trPr>
          <w:trHeight w:val="276" w:hRule="atLeast"/>
        </w:trPr>
        <w:tc>
          <w:tcPr>
            <w:tcW w:w="103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服务类型</w:t>
            </w:r>
          </w:p>
        </w:tc>
        <w:tc>
          <w:tcPr>
            <w:tcW w:w="1078" w:type="pct"/>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响应时间/频率</w:t>
            </w:r>
          </w:p>
        </w:tc>
        <w:tc>
          <w:tcPr>
            <w:tcW w:w="2889" w:type="pct"/>
            <w:tcBorders>
              <w:top w:val="single" w:color="auto" w:sz="4" w:space="0"/>
              <w:left w:val="nil"/>
              <w:bottom w:val="single" w:color="auto" w:sz="4" w:space="0"/>
              <w:right w:val="single" w:color="auto" w:sz="4" w:space="0"/>
            </w:tcBorders>
            <w:shd w:val="clear" w:color="auto" w:fill="FFFFFF" w:themeFill="background1"/>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服务内容</w:t>
            </w:r>
          </w:p>
        </w:tc>
      </w:tr>
      <w:tr>
        <w:tblPrEx>
          <w:tblCellMar>
            <w:top w:w="0" w:type="dxa"/>
            <w:left w:w="108" w:type="dxa"/>
            <w:bottom w:w="0" w:type="dxa"/>
            <w:right w:w="108" w:type="dxa"/>
          </w:tblCellMar>
        </w:tblPrEx>
        <w:trPr>
          <w:trHeight w:val="828" w:hRule="atLeast"/>
        </w:trPr>
        <w:tc>
          <w:tcPr>
            <w:tcW w:w="1033"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基本响应</w:t>
            </w:r>
          </w:p>
        </w:tc>
        <w:tc>
          <w:tcPr>
            <w:tcW w:w="1078"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7X24小时</w:t>
            </w:r>
          </w:p>
        </w:tc>
        <w:tc>
          <w:tcPr>
            <w:tcW w:w="2889"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提供服务周期内的7×24小时（含所有节假日）设备系统软硬件维保服务；不限次的节假日及上线节点的现场保障服务。服务人员具有多年维护设备的支持服务经验，能熟练处理各类故障。</w:t>
            </w:r>
          </w:p>
        </w:tc>
      </w:tr>
      <w:tr>
        <w:tblPrEx>
          <w:tblCellMar>
            <w:top w:w="0" w:type="dxa"/>
            <w:left w:w="108" w:type="dxa"/>
            <w:bottom w:w="0" w:type="dxa"/>
            <w:right w:w="108" w:type="dxa"/>
          </w:tblCellMar>
        </w:tblPrEx>
        <w:trPr>
          <w:trHeight w:val="276" w:hRule="atLeast"/>
        </w:trPr>
        <w:tc>
          <w:tcPr>
            <w:tcW w:w="1033"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电话支持</w:t>
            </w:r>
          </w:p>
        </w:tc>
        <w:tc>
          <w:tcPr>
            <w:tcW w:w="1078"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10分钟</w:t>
            </w:r>
          </w:p>
        </w:tc>
        <w:tc>
          <w:tcPr>
            <w:tcW w:w="2889"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不限次数，10分钟内响应。</w:t>
            </w:r>
          </w:p>
        </w:tc>
      </w:tr>
      <w:tr>
        <w:tblPrEx>
          <w:tblCellMar>
            <w:top w:w="0" w:type="dxa"/>
            <w:left w:w="108" w:type="dxa"/>
            <w:bottom w:w="0" w:type="dxa"/>
            <w:right w:w="108" w:type="dxa"/>
          </w:tblCellMar>
        </w:tblPrEx>
        <w:trPr>
          <w:trHeight w:val="276" w:hRule="atLeast"/>
        </w:trPr>
        <w:tc>
          <w:tcPr>
            <w:tcW w:w="1033"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远程支持</w:t>
            </w:r>
          </w:p>
        </w:tc>
        <w:tc>
          <w:tcPr>
            <w:tcW w:w="1078"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不限次数</w:t>
            </w:r>
          </w:p>
        </w:tc>
        <w:tc>
          <w:tcPr>
            <w:tcW w:w="2889"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不限次数，邮件支持，技术咨询等。</w:t>
            </w:r>
          </w:p>
        </w:tc>
      </w:tr>
      <w:tr>
        <w:tblPrEx>
          <w:tblCellMar>
            <w:top w:w="0" w:type="dxa"/>
            <w:left w:w="108" w:type="dxa"/>
            <w:bottom w:w="0" w:type="dxa"/>
            <w:right w:w="108" w:type="dxa"/>
          </w:tblCellMar>
        </w:tblPrEx>
        <w:trPr>
          <w:trHeight w:val="1380" w:hRule="atLeast"/>
        </w:trPr>
        <w:tc>
          <w:tcPr>
            <w:tcW w:w="1033"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现场服务</w:t>
            </w:r>
          </w:p>
        </w:tc>
        <w:tc>
          <w:tcPr>
            <w:tcW w:w="1078"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7×24×4小时</w:t>
            </w:r>
          </w:p>
        </w:tc>
        <w:tc>
          <w:tcPr>
            <w:tcW w:w="2889"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不限次数，现场故障解决原厂技术人员4小时内到场提供维护服务，到场后2小时内完成故障定位，故障定位后如需更换备件，备件要求4小时内到场，</w:t>
            </w:r>
            <w:bookmarkStart w:id="2" w:name="_Hlk45635621"/>
            <w:r>
              <w:rPr>
                <w:rFonts w:hint="eastAsia" w:ascii="宋体" w:hAnsi="宋体" w:eastAsia="宋体" w:cs="宋体"/>
                <w:color w:val="000000"/>
                <w:kern w:val="0"/>
                <w:sz w:val="24"/>
                <w:szCs w:val="24"/>
              </w:rPr>
              <w:t>工程师应在最短时间内，通过合理有效的技术手段，</w:t>
            </w:r>
            <w:bookmarkEnd w:id="2"/>
            <w:r>
              <w:rPr>
                <w:rFonts w:hint="eastAsia" w:ascii="宋体" w:hAnsi="宋体" w:eastAsia="宋体" w:cs="宋体"/>
                <w:color w:val="000000"/>
                <w:kern w:val="0"/>
                <w:sz w:val="24"/>
                <w:szCs w:val="24"/>
              </w:rPr>
              <w:t>恢复系统正常运行；对未现场完全解决的问题，服务工程师须至少每周与客户工程师联系，跟踪问题，分析协商处理方案，直至问题解决。不限次数的关键节点现场保障。</w:t>
            </w:r>
          </w:p>
        </w:tc>
      </w:tr>
      <w:tr>
        <w:tblPrEx>
          <w:tblCellMar>
            <w:top w:w="0" w:type="dxa"/>
            <w:left w:w="108" w:type="dxa"/>
            <w:bottom w:w="0" w:type="dxa"/>
            <w:right w:w="108" w:type="dxa"/>
          </w:tblCellMar>
        </w:tblPrEx>
        <w:trPr>
          <w:trHeight w:val="276" w:hRule="atLeast"/>
        </w:trPr>
        <w:tc>
          <w:tcPr>
            <w:tcW w:w="1033"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升级服务</w:t>
            </w:r>
          </w:p>
        </w:tc>
        <w:tc>
          <w:tcPr>
            <w:tcW w:w="1078"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不限次数</w:t>
            </w:r>
          </w:p>
        </w:tc>
        <w:tc>
          <w:tcPr>
            <w:tcW w:w="2889"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不限次数，包括补丁分析、升级，原厂工程师现场硬件微码升级支持等。</w:t>
            </w:r>
          </w:p>
        </w:tc>
      </w:tr>
      <w:tr>
        <w:tblPrEx>
          <w:tblCellMar>
            <w:top w:w="0" w:type="dxa"/>
            <w:left w:w="108" w:type="dxa"/>
            <w:bottom w:w="0" w:type="dxa"/>
            <w:right w:w="108" w:type="dxa"/>
          </w:tblCellMar>
        </w:tblPrEx>
        <w:trPr>
          <w:trHeight w:val="104" w:hRule="atLeast"/>
        </w:trPr>
        <w:tc>
          <w:tcPr>
            <w:tcW w:w="1033"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移位服务</w:t>
            </w:r>
          </w:p>
        </w:tc>
        <w:tc>
          <w:tcPr>
            <w:tcW w:w="1078"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不限次数</w:t>
            </w:r>
          </w:p>
        </w:tc>
        <w:tc>
          <w:tcPr>
            <w:tcW w:w="2889"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不限次数，涉及服务器移位、搬迁项目等。</w:t>
            </w:r>
          </w:p>
        </w:tc>
      </w:tr>
      <w:tr>
        <w:tblPrEx>
          <w:tblCellMar>
            <w:top w:w="0" w:type="dxa"/>
            <w:left w:w="108" w:type="dxa"/>
            <w:bottom w:w="0" w:type="dxa"/>
            <w:right w:w="108" w:type="dxa"/>
          </w:tblCellMar>
        </w:tblPrEx>
        <w:trPr>
          <w:trHeight w:val="552" w:hRule="atLeast"/>
        </w:trPr>
        <w:tc>
          <w:tcPr>
            <w:tcW w:w="1033"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巡检服务</w:t>
            </w:r>
          </w:p>
        </w:tc>
        <w:tc>
          <w:tcPr>
            <w:tcW w:w="1078"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一年四次</w:t>
            </w:r>
          </w:p>
        </w:tc>
        <w:tc>
          <w:tcPr>
            <w:tcW w:w="2889"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每季度对服务所涵盖的所有设备进行例行检查，检查设备的运行情况,并提供巡检报告。</w:t>
            </w:r>
          </w:p>
        </w:tc>
      </w:tr>
      <w:tr>
        <w:tblPrEx>
          <w:tblCellMar>
            <w:top w:w="0" w:type="dxa"/>
            <w:left w:w="108" w:type="dxa"/>
            <w:bottom w:w="0" w:type="dxa"/>
            <w:right w:w="108" w:type="dxa"/>
          </w:tblCellMar>
        </w:tblPrEx>
        <w:trPr>
          <w:trHeight w:val="108" w:hRule="atLeast"/>
        </w:trPr>
        <w:tc>
          <w:tcPr>
            <w:tcW w:w="1033"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校时服务</w:t>
            </w:r>
          </w:p>
        </w:tc>
        <w:tc>
          <w:tcPr>
            <w:tcW w:w="1078"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一年四次</w:t>
            </w:r>
          </w:p>
        </w:tc>
        <w:tc>
          <w:tcPr>
            <w:tcW w:w="2889"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bookmarkStart w:id="3" w:name="_Hlk49178706"/>
            <w:r>
              <w:rPr>
                <w:rFonts w:hint="eastAsia" w:ascii="宋体" w:hAnsi="宋体" w:eastAsia="宋体" w:cs="宋体"/>
                <w:color w:val="000000"/>
                <w:kern w:val="0"/>
                <w:sz w:val="24"/>
                <w:szCs w:val="24"/>
              </w:rPr>
              <w:t>提供每季度校时技术支持服务</w:t>
            </w:r>
            <w:bookmarkEnd w:id="3"/>
          </w:p>
        </w:tc>
      </w:tr>
      <w:tr>
        <w:tblPrEx>
          <w:tblCellMar>
            <w:top w:w="0" w:type="dxa"/>
            <w:left w:w="108" w:type="dxa"/>
            <w:bottom w:w="0" w:type="dxa"/>
            <w:right w:w="108" w:type="dxa"/>
          </w:tblCellMar>
        </w:tblPrEx>
        <w:trPr>
          <w:trHeight w:val="276" w:hRule="atLeast"/>
        </w:trPr>
        <w:tc>
          <w:tcPr>
            <w:tcW w:w="1033"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报告文档</w:t>
            </w:r>
          </w:p>
        </w:tc>
        <w:tc>
          <w:tcPr>
            <w:tcW w:w="1078"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p>
        </w:tc>
        <w:tc>
          <w:tcPr>
            <w:tcW w:w="2889"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提供正式的服务报告，巡检报告，故障处理报告，年度服务报告等。</w:t>
            </w:r>
          </w:p>
        </w:tc>
      </w:tr>
      <w:tr>
        <w:tblPrEx>
          <w:tblCellMar>
            <w:top w:w="0" w:type="dxa"/>
            <w:left w:w="108" w:type="dxa"/>
            <w:bottom w:w="0" w:type="dxa"/>
            <w:right w:w="108" w:type="dxa"/>
          </w:tblCellMar>
        </w:tblPrEx>
        <w:trPr>
          <w:trHeight w:val="276" w:hRule="atLeast"/>
        </w:trPr>
        <w:tc>
          <w:tcPr>
            <w:tcW w:w="1033"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安装部署服务</w:t>
            </w:r>
          </w:p>
        </w:tc>
        <w:tc>
          <w:tcPr>
            <w:tcW w:w="1078"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不限次数</w:t>
            </w:r>
          </w:p>
        </w:tc>
        <w:tc>
          <w:tcPr>
            <w:tcW w:w="2889"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提供原厂安装部署服务。</w:t>
            </w:r>
          </w:p>
        </w:tc>
      </w:tr>
      <w:tr>
        <w:tblPrEx>
          <w:tblCellMar>
            <w:top w:w="0" w:type="dxa"/>
            <w:left w:w="108" w:type="dxa"/>
            <w:bottom w:w="0" w:type="dxa"/>
            <w:right w:w="108" w:type="dxa"/>
          </w:tblCellMar>
        </w:tblPrEx>
        <w:trPr>
          <w:trHeight w:val="1104" w:hRule="atLeast"/>
        </w:trPr>
        <w:tc>
          <w:tcPr>
            <w:tcW w:w="1033"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管理服务</w:t>
            </w:r>
          </w:p>
        </w:tc>
        <w:tc>
          <w:tcPr>
            <w:tcW w:w="1078"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5X8</w:t>
            </w:r>
          </w:p>
        </w:tc>
        <w:tc>
          <w:tcPr>
            <w:tcW w:w="2889"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如提供的原厂服务人员态度与能力不符合项目要求，采购人提出改进要求，3个工作日内没有明显改进，原厂技术服务经理5×8在现场监督改进，3个工作日仍然没有明显改进，原厂技术服务经理的上级领导5×8在现场监督改进直到问题完全解决。</w:t>
            </w:r>
          </w:p>
        </w:tc>
      </w:tr>
    </w:tbl>
    <w:p>
      <w:pPr>
        <w:widowControl/>
        <w:jc w:val="left"/>
        <w:rPr>
          <w:rFonts w:ascii="宋体" w:hAnsi="宋体" w:eastAsia="宋体"/>
          <w:b/>
          <w:sz w:val="32"/>
          <w:szCs w:val="32"/>
          <w:highlight w:val="none"/>
        </w:rPr>
      </w:pPr>
      <w:r>
        <w:rPr>
          <w:rFonts w:ascii="宋体" w:hAnsi="宋体" w:eastAsia="宋体"/>
          <w:b/>
          <w:sz w:val="32"/>
          <w:szCs w:val="32"/>
          <w:highlight w:val="none"/>
        </w:rPr>
        <w:br w:type="page"/>
      </w:r>
    </w:p>
    <w:p>
      <w:pPr>
        <w:pStyle w:val="10"/>
        <w:jc w:val="both"/>
        <w:rPr>
          <w:rFonts w:ascii="宋体" w:hAnsi="宋体"/>
          <w:b w:val="0"/>
          <w:sz w:val="24"/>
          <w:szCs w:val="24"/>
          <w:highlight w:val="none"/>
        </w:rPr>
      </w:pPr>
      <w:r>
        <w:rPr>
          <w:rFonts w:hint="eastAsia" w:ascii="宋体" w:hAnsi="宋体"/>
          <w:b w:val="0"/>
          <w:sz w:val="24"/>
          <w:szCs w:val="24"/>
          <w:highlight w:val="none"/>
        </w:rPr>
        <w:t>附件</w:t>
      </w:r>
      <w:r>
        <w:rPr>
          <w:rFonts w:ascii="宋体" w:hAnsi="宋体"/>
          <w:b w:val="0"/>
          <w:sz w:val="24"/>
          <w:szCs w:val="24"/>
          <w:highlight w:val="none"/>
        </w:rPr>
        <w:t>2</w:t>
      </w:r>
      <w:r>
        <w:rPr>
          <w:rFonts w:hint="eastAsia" w:ascii="宋体" w:hAnsi="宋体"/>
          <w:b w:val="0"/>
          <w:sz w:val="24"/>
          <w:szCs w:val="24"/>
          <w:highlight w:val="none"/>
        </w:rPr>
        <w:t>：</w:t>
      </w:r>
      <w:r>
        <w:rPr>
          <w:rFonts w:ascii="宋体" w:hAnsi="宋体"/>
          <w:b w:val="0"/>
          <w:sz w:val="24"/>
          <w:szCs w:val="24"/>
          <w:highlight w:val="none"/>
        </w:rPr>
        <w:t>法人代表</w:t>
      </w:r>
      <w:r>
        <w:rPr>
          <w:rFonts w:hint="eastAsia" w:ascii="宋体" w:hAnsi="宋体"/>
          <w:b w:val="0"/>
          <w:sz w:val="24"/>
          <w:szCs w:val="24"/>
          <w:highlight w:val="none"/>
        </w:rPr>
        <w:t>人（投资人/负责人）</w:t>
      </w:r>
      <w:r>
        <w:rPr>
          <w:rFonts w:ascii="宋体" w:hAnsi="宋体"/>
          <w:b w:val="0"/>
          <w:sz w:val="24"/>
          <w:szCs w:val="24"/>
          <w:highlight w:val="none"/>
        </w:rPr>
        <w:t>授权书</w:t>
      </w:r>
    </w:p>
    <w:p>
      <w:pPr>
        <w:pStyle w:val="18"/>
        <w:spacing w:before="120"/>
        <w:rPr>
          <w:rFonts w:ascii="宋体" w:hAnsi="宋体" w:eastAsia="宋体"/>
          <w:b/>
          <w:bCs/>
          <w:color w:val="000000"/>
          <w:kern w:val="2"/>
          <w:sz w:val="36"/>
          <w:szCs w:val="36"/>
          <w:highlight w:val="none"/>
        </w:rPr>
      </w:pPr>
    </w:p>
    <w:p>
      <w:pPr>
        <w:pStyle w:val="18"/>
        <w:spacing w:before="120"/>
        <w:rPr>
          <w:rFonts w:ascii="宋体" w:hAnsi="宋体" w:eastAsia="宋体"/>
          <w:b/>
          <w:bCs/>
          <w:color w:val="000000"/>
          <w:kern w:val="2"/>
          <w:sz w:val="36"/>
          <w:szCs w:val="36"/>
          <w:highlight w:val="none"/>
        </w:rPr>
      </w:pPr>
      <w:r>
        <w:rPr>
          <w:rFonts w:hint="eastAsia" w:ascii="宋体" w:hAnsi="宋体" w:eastAsia="宋体"/>
          <w:b/>
          <w:bCs/>
          <w:color w:val="000000"/>
          <w:kern w:val="2"/>
          <w:sz w:val="36"/>
          <w:szCs w:val="36"/>
          <w:highlight w:val="none"/>
        </w:rPr>
        <w:t>法定代表人（投资人/负责人）授权书</w:t>
      </w:r>
    </w:p>
    <w:p>
      <w:pPr>
        <w:spacing w:line="360" w:lineRule="auto"/>
        <w:ind w:firstLine="480" w:firstLineChars="200"/>
        <w:rPr>
          <w:rFonts w:ascii="宋体" w:hAnsi="宋体"/>
          <w:color w:val="000000"/>
          <w:sz w:val="24"/>
          <w:highlight w:val="none"/>
        </w:rPr>
      </w:pP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本授权书声明：注册于</w:t>
      </w:r>
      <w:r>
        <w:rPr>
          <w:rFonts w:hint="eastAsia" w:ascii="宋体" w:hAnsi="宋体"/>
          <w:i/>
          <w:color w:val="000000"/>
          <w:sz w:val="24"/>
          <w:highlight w:val="none"/>
          <w:u w:val="single"/>
        </w:rPr>
        <w:t>国家或地区的名称</w:t>
      </w:r>
      <w:r>
        <w:rPr>
          <w:rFonts w:hint="eastAsia" w:ascii="宋体" w:hAnsi="宋体"/>
          <w:color w:val="000000"/>
          <w:sz w:val="24"/>
          <w:highlight w:val="none"/>
        </w:rPr>
        <w:t>的</w:t>
      </w:r>
      <w:r>
        <w:rPr>
          <w:rFonts w:hint="eastAsia" w:ascii="宋体" w:hAnsi="宋体"/>
          <w:i/>
          <w:color w:val="000000"/>
          <w:sz w:val="24"/>
          <w:highlight w:val="none"/>
          <w:u w:val="single"/>
        </w:rPr>
        <w:t>公司名称</w:t>
      </w:r>
      <w:r>
        <w:rPr>
          <w:rFonts w:hint="eastAsia" w:ascii="宋体" w:hAnsi="宋体"/>
          <w:color w:val="000000"/>
          <w:sz w:val="24"/>
          <w:highlight w:val="none"/>
        </w:rPr>
        <w:t>的</w:t>
      </w:r>
      <w:r>
        <w:rPr>
          <w:rFonts w:hint="eastAsia" w:ascii="宋体" w:hAnsi="宋体"/>
          <w:i/>
          <w:color w:val="000000"/>
          <w:sz w:val="24"/>
          <w:highlight w:val="none"/>
          <w:u w:val="single"/>
        </w:rPr>
        <w:t xml:space="preserve">法定代表人姓名（投资人/负责人） </w:t>
      </w:r>
      <w:r>
        <w:rPr>
          <w:rFonts w:hint="eastAsia" w:ascii="宋体" w:hAnsi="宋体"/>
          <w:color w:val="000000"/>
          <w:sz w:val="24"/>
          <w:highlight w:val="none"/>
        </w:rPr>
        <w:t>代表本公司授权</w:t>
      </w:r>
      <w:r>
        <w:rPr>
          <w:rFonts w:hint="eastAsia" w:ascii="宋体" w:hAnsi="宋体"/>
          <w:i/>
          <w:color w:val="000000"/>
          <w:sz w:val="24"/>
          <w:highlight w:val="none"/>
          <w:u w:val="single"/>
        </w:rPr>
        <w:t xml:space="preserve"> 单位名称</w:t>
      </w:r>
      <w:r>
        <w:rPr>
          <w:rFonts w:hint="eastAsia" w:ascii="宋体" w:hAnsi="宋体"/>
          <w:color w:val="000000"/>
          <w:sz w:val="24"/>
          <w:highlight w:val="none"/>
        </w:rPr>
        <w:t>的</w:t>
      </w:r>
      <w:r>
        <w:rPr>
          <w:rFonts w:hint="eastAsia" w:ascii="宋体" w:hAnsi="宋体"/>
          <w:i/>
          <w:color w:val="000000"/>
          <w:sz w:val="24"/>
          <w:highlight w:val="none"/>
          <w:u w:val="single"/>
        </w:rPr>
        <w:t xml:space="preserve">被授权人的姓名 </w:t>
      </w:r>
      <w:r>
        <w:rPr>
          <w:rFonts w:hint="eastAsia" w:ascii="宋体" w:hAnsi="宋体"/>
          <w:color w:val="000000"/>
          <w:sz w:val="24"/>
          <w:highlight w:val="none"/>
        </w:rPr>
        <w:t>为本公司的合法代理人，参加“</w:t>
      </w:r>
      <w:r>
        <w:rPr>
          <w:rFonts w:hint="eastAsia" w:ascii="宋体" w:hAnsi="宋体"/>
          <w:i/>
          <w:color w:val="000000"/>
          <w:sz w:val="24"/>
          <w:highlight w:val="none"/>
          <w:u w:val="single"/>
        </w:rPr>
        <w:t>项目名称</w:t>
      </w:r>
      <w:r>
        <w:rPr>
          <w:rFonts w:hint="eastAsia" w:ascii="宋体" w:hAnsi="宋体"/>
          <w:color w:val="000000"/>
          <w:sz w:val="24"/>
          <w:highlight w:val="none"/>
        </w:rPr>
        <w:t>”项目的投标及合同签订执行，以本公司名义处理一切与之有关的事务。</w:t>
      </w:r>
    </w:p>
    <w:p>
      <w:pPr>
        <w:spacing w:line="360" w:lineRule="auto"/>
        <w:ind w:firstLine="480" w:firstLineChars="200"/>
        <w:rPr>
          <w:rFonts w:ascii="宋体" w:hAnsi="宋体"/>
          <w:color w:val="000000"/>
          <w:sz w:val="24"/>
          <w:highlight w:val="none"/>
        </w:rPr>
      </w:pP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本授权书经法定代表人（投资人/负责人）及代理人签字(或盖章)并加盖单位公章后生效。</w:t>
      </w:r>
    </w:p>
    <w:p>
      <w:pPr>
        <w:spacing w:line="360" w:lineRule="auto"/>
        <w:rPr>
          <w:rFonts w:ascii="宋体" w:hAnsi="宋体"/>
          <w:color w:val="000000"/>
          <w:sz w:val="24"/>
          <w:highlight w:val="none"/>
        </w:rPr>
      </w:pPr>
    </w:p>
    <w:p>
      <w:pPr>
        <w:spacing w:line="360" w:lineRule="auto"/>
        <w:rPr>
          <w:rFonts w:ascii="宋体" w:hAnsi="宋体"/>
          <w:color w:val="000000"/>
          <w:sz w:val="24"/>
          <w:highlight w:val="none"/>
        </w:rPr>
      </w:pPr>
    </w:p>
    <w:p>
      <w:pPr>
        <w:spacing w:line="360" w:lineRule="auto"/>
        <w:jc w:val="right"/>
        <w:rPr>
          <w:rFonts w:ascii="宋体" w:hAnsi="宋体"/>
          <w:color w:val="000000"/>
          <w:sz w:val="24"/>
          <w:highlight w:val="none"/>
        </w:rPr>
      </w:pPr>
      <w:r>
        <w:rPr>
          <w:rFonts w:hint="eastAsia" w:ascii="宋体" w:hAnsi="宋体"/>
          <w:color w:val="000000"/>
          <w:sz w:val="24"/>
          <w:highlight w:val="none"/>
        </w:rPr>
        <w:t>法定代表人（投资人/负责人）签字或盖章：________________</w:t>
      </w:r>
    </w:p>
    <w:p>
      <w:pPr>
        <w:spacing w:line="360" w:lineRule="auto"/>
        <w:jc w:val="right"/>
        <w:rPr>
          <w:rFonts w:ascii="宋体" w:hAnsi="宋体"/>
          <w:color w:val="000000"/>
          <w:sz w:val="24"/>
          <w:highlight w:val="none"/>
        </w:rPr>
      </w:pPr>
      <w:r>
        <w:rPr>
          <w:rFonts w:hint="eastAsia" w:ascii="宋体" w:hAnsi="宋体"/>
          <w:color w:val="000000"/>
          <w:sz w:val="24"/>
          <w:highlight w:val="none"/>
        </w:rPr>
        <w:t>代理人（被授权人）签字：________________</w:t>
      </w:r>
    </w:p>
    <w:p>
      <w:pPr>
        <w:spacing w:line="360" w:lineRule="auto"/>
        <w:jc w:val="right"/>
        <w:rPr>
          <w:rFonts w:ascii="宋体" w:hAnsi="宋体"/>
          <w:color w:val="000000"/>
          <w:sz w:val="24"/>
          <w:highlight w:val="none"/>
        </w:rPr>
      </w:pPr>
      <w:r>
        <w:rPr>
          <w:rFonts w:hint="eastAsia" w:ascii="宋体" w:hAnsi="宋体"/>
          <w:color w:val="000000"/>
          <w:sz w:val="24"/>
          <w:highlight w:val="none"/>
        </w:rPr>
        <w:t>单位名称（盖章）：________________</w:t>
      </w:r>
    </w:p>
    <w:p>
      <w:pPr>
        <w:spacing w:line="360" w:lineRule="auto"/>
        <w:rPr>
          <w:rFonts w:ascii="宋体" w:hAnsi="宋体"/>
          <w:color w:val="000000"/>
          <w:sz w:val="24"/>
          <w:highlight w:val="none"/>
        </w:rPr>
      </w:pPr>
    </w:p>
    <w:p>
      <w:pPr>
        <w:spacing w:line="360" w:lineRule="auto"/>
        <w:rPr>
          <w:rFonts w:ascii="宋体" w:hAnsi="宋体"/>
          <w:color w:val="000000"/>
          <w:sz w:val="24"/>
          <w:highlight w:val="none"/>
        </w:rPr>
      </w:pPr>
    </w:p>
    <w:p>
      <w:pPr>
        <w:spacing w:line="360" w:lineRule="auto"/>
        <w:rPr>
          <w:rFonts w:ascii="宋体" w:hAnsi="宋体" w:eastAsia="宋体"/>
          <w:b/>
          <w:sz w:val="24"/>
          <w:highlight w:val="none"/>
          <w:u w:val="single"/>
        </w:rPr>
      </w:pPr>
      <w:r>
        <w:rPr>
          <w:rFonts w:hint="eastAsia" w:ascii="宋体" w:hAnsi="宋体"/>
          <w:b/>
          <w:color w:val="000000"/>
          <w:sz w:val="24"/>
          <w:highlight w:val="none"/>
        </w:rPr>
        <w:t>注：授权书空格项均为必填项；另附上提供法定代表人（投资人/负责人）和被授权人身份证正反面的复印件。</w:t>
      </w:r>
    </w:p>
    <w:p>
      <w:pPr>
        <w:pStyle w:val="10"/>
        <w:ind w:firstLine="512"/>
        <w:jc w:val="both"/>
        <w:rPr>
          <w:rFonts w:ascii="宋体" w:hAnsi="宋体"/>
          <w:szCs w:val="21"/>
          <w:highlight w:val="none"/>
        </w:rPr>
      </w:pPr>
    </w:p>
    <w:p>
      <w:pPr>
        <w:spacing w:line="360" w:lineRule="auto"/>
        <w:rPr>
          <w:rFonts w:ascii="宋体" w:hAnsi="宋体" w:eastAsia="宋体"/>
          <w:sz w:val="24"/>
          <w:highlight w:val="none"/>
          <w:u w:val="single"/>
        </w:rPr>
      </w:pPr>
    </w:p>
    <w:p>
      <w:pPr>
        <w:spacing w:line="360" w:lineRule="auto"/>
        <w:rPr>
          <w:rFonts w:ascii="宋体" w:hAnsi="宋体" w:eastAsia="宋体"/>
          <w:sz w:val="24"/>
          <w:highlight w:val="none"/>
          <w:u w:val="single"/>
        </w:rPr>
      </w:pPr>
    </w:p>
    <w:p>
      <w:pPr>
        <w:widowControl/>
        <w:jc w:val="left"/>
        <w:rPr>
          <w:rFonts w:ascii="宋体" w:hAnsi="宋体" w:eastAsia="黑体" w:cs="Times New Roman"/>
          <w:b/>
          <w:bCs/>
          <w:kern w:val="0"/>
          <w:sz w:val="24"/>
          <w:szCs w:val="24"/>
          <w:highlight w:val="none"/>
        </w:rPr>
      </w:pPr>
      <w:r>
        <w:rPr>
          <w:rFonts w:ascii="宋体" w:hAnsi="宋体"/>
          <w:b/>
          <w:bCs/>
          <w:sz w:val="24"/>
          <w:szCs w:val="24"/>
          <w:highlight w:val="none"/>
        </w:rPr>
        <w:br w:type="page"/>
      </w:r>
    </w:p>
    <w:p>
      <w:pPr>
        <w:pStyle w:val="10"/>
        <w:jc w:val="both"/>
        <w:rPr>
          <w:rFonts w:ascii="宋体" w:hAnsi="宋体"/>
          <w:b w:val="0"/>
          <w:bCs w:val="0"/>
          <w:sz w:val="24"/>
          <w:szCs w:val="24"/>
          <w:highlight w:val="none"/>
        </w:rPr>
      </w:pPr>
      <w:r>
        <w:rPr>
          <w:rFonts w:hint="eastAsia" w:ascii="宋体" w:hAnsi="宋体"/>
          <w:b w:val="0"/>
          <w:bCs w:val="0"/>
          <w:sz w:val="24"/>
          <w:szCs w:val="24"/>
          <w:highlight w:val="none"/>
        </w:rPr>
        <w:t>附件</w:t>
      </w:r>
      <w:r>
        <w:rPr>
          <w:rFonts w:ascii="宋体" w:hAnsi="宋体"/>
          <w:b w:val="0"/>
          <w:bCs w:val="0"/>
          <w:sz w:val="24"/>
          <w:szCs w:val="24"/>
          <w:highlight w:val="none"/>
        </w:rPr>
        <w:t>3</w:t>
      </w:r>
      <w:r>
        <w:rPr>
          <w:rFonts w:hint="eastAsia" w:ascii="宋体" w:hAnsi="宋体"/>
          <w:b w:val="0"/>
          <w:bCs w:val="0"/>
          <w:sz w:val="24"/>
          <w:szCs w:val="24"/>
          <w:highlight w:val="none"/>
        </w:rPr>
        <w:t>：</w:t>
      </w:r>
      <w:r>
        <w:rPr>
          <w:rFonts w:ascii="宋体" w:hAnsi="宋体"/>
          <w:b w:val="0"/>
          <w:bCs w:val="0"/>
          <w:sz w:val="24"/>
          <w:szCs w:val="24"/>
          <w:highlight w:val="none"/>
        </w:rPr>
        <w:t>评分标准</w:t>
      </w:r>
    </w:p>
    <w:p>
      <w:pPr>
        <w:rPr>
          <w:rFonts w:ascii="宋体" w:hAnsi="宋体" w:eastAsia="宋体"/>
          <w:highlight w:val="none"/>
        </w:rPr>
      </w:pPr>
    </w:p>
    <w:p>
      <w:pPr>
        <w:spacing w:after="100" w:afterAutospacing="1" w:line="360" w:lineRule="auto"/>
        <w:ind w:left="-720" w:firstLine="720"/>
        <w:jc w:val="center"/>
        <w:rPr>
          <w:rFonts w:ascii="宋体" w:hAnsi="宋体" w:eastAsia="宋体"/>
          <w:b/>
          <w:bCs/>
          <w:sz w:val="32"/>
          <w:szCs w:val="32"/>
          <w:highlight w:val="none"/>
        </w:rPr>
      </w:pPr>
      <w:r>
        <w:rPr>
          <w:rFonts w:hint="eastAsia" w:ascii="宋体" w:hAnsi="宋体" w:eastAsia="宋体"/>
          <w:b/>
          <w:bCs/>
          <w:sz w:val="32"/>
          <w:szCs w:val="32"/>
          <w:highlight w:val="none"/>
        </w:rPr>
        <w:t>采购评分标准</w:t>
      </w:r>
    </w:p>
    <w:p>
      <w:pPr>
        <w:spacing w:line="360" w:lineRule="auto"/>
        <w:rPr>
          <w:rFonts w:ascii="宋体" w:hAnsi="宋体" w:eastAsia="宋体"/>
          <w:b/>
          <w:sz w:val="28"/>
          <w:highlight w:val="none"/>
        </w:rPr>
      </w:pPr>
      <w:r>
        <w:rPr>
          <w:rFonts w:hint="eastAsia" w:ascii="宋体" w:hAnsi="宋体" w:eastAsia="宋体"/>
          <w:b/>
          <w:sz w:val="28"/>
          <w:highlight w:val="none"/>
        </w:rPr>
        <w:t>一、评标原则：</w:t>
      </w:r>
    </w:p>
    <w:p>
      <w:pPr>
        <w:spacing w:line="300" w:lineRule="auto"/>
        <w:rPr>
          <w:rFonts w:ascii="宋体" w:hAnsi="宋体" w:eastAsia="宋体" w:cs="Times New Roman"/>
          <w:spacing w:val="10"/>
          <w:sz w:val="24"/>
          <w:szCs w:val="20"/>
          <w:highlight w:val="none"/>
        </w:rPr>
      </w:pPr>
      <w:r>
        <w:rPr>
          <w:rFonts w:ascii="宋体" w:hAnsi="宋体" w:eastAsia="宋体" w:cs="Times New Roman"/>
          <w:spacing w:val="10"/>
          <w:sz w:val="24"/>
          <w:szCs w:val="20"/>
          <w:highlight w:val="none"/>
        </w:rPr>
        <w:t>1</w:t>
      </w:r>
      <w:r>
        <w:rPr>
          <w:rFonts w:hint="eastAsia" w:ascii="宋体" w:hAnsi="宋体" w:eastAsia="宋体" w:cs="Times New Roman"/>
          <w:spacing w:val="10"/>
          <w:sz w:val="24"/>
          <w:szCs w:val="20"/>
          <w:highlight w:val="none"/>
        </w:rPr>
        <w:t>.采用“百分制评标法”，分别对技术需求与商务需求进行评分。</w:t>
      </w:r>
    </w:p>
    <w:p>
      <w:pPr>
        <w:spacing w:line="300" w:lineRule="auto"/>
        <w:rPr>
          <w:rFonts w:ascii="宋体" w:hAnsi="宋体" w:eastAsia="宋体" w:cs="Times New Roman"/>
          <w:spacing w:val="10"/>
          <w:sz w:val="24"/>
          <w:szCs w:val="20"/>
          <w:highlight w:val="none"/>
        </w:rPr>
      </w:pPr>
      <w:r>
        <w:rPr>
          <w:rFonts w:hint="eastAsia" w:ascii="宋体" w:hAnsi="宋体" w:eastAsia="宋体" w:cs="Times New Roman"/>
          <w:spacing w:val="10"/>
          <w:sz w:val="24"/>
          <w:szCs w:val="20"/>
          <w:highlight w:val="none"/>
        </w:rPr>
        <w:t>2.对所有投标人的投标评估，评委都采用相同的程序和标准。</w:t>
      </w:r>
    </w:p>
    <w:p>
      <w:pPr>
        <w:spacing w:line="300" w:lineRule="auto"/>
        <w:rPr>
          <w:rFonts w:ascii="宋体" w:hAnsi="宋体" w:eastAsia="宋体" w:cs="Times New Roman"/>
          <w:spacing w:val="10"/>
          <w:sz w:val="24"/>
          <w:szCs w:val="20"/>
          <w:highlight w:val="none"/>
        </w:rPr>
      </w:pPr>
      <w:r>
        <w:rPr>
          <w:rFonts w:hint="eastAsia" w:ascii="宋体" w:hAnsi="宋体" w:eastAsia="宋体" w:cs="Times New Roman"/>
          <w:spacing w:val="10"/>
          <w:sz w:val="24"/>
          <w:szCs w:val="20"/>
          <w:highlight w:val="none"/>
        </w:rPr>
        <w:t>3.所有</w:t>
      </w:r>
      <w:r>
        <w:rPr>
          <w:rFonts w:ascii="宋体" w:hAnsi="宋体" w:eastAsia="宋体" w:cs="Times New Roman"/>
          <w:spacing w:val="10"/>
          <w:sz w:val="24"/>
          <w:szCs w:val="20"/>
          <w:highlight w:val="none"/>
        </w:rPr>
        <w:t>投标产品</w:t>
      </w:r>
      <w:r>
        <w:rPr>
          <w:rFonts w:hint="eastAsia" w:ascii="宋体" w:hAnsi="宋体" w:eastAsia="宋体" w:cs="Times New Roman"/>
          <w:spacing w:val="10"/>
          <w:sz w:val="24"/>
          <w:szCs w:val="20"/>
          <w:highlight w:val="none"/>
        </w:rPr>
        <w:t>为相同品牌及型号产品且通过资格审查、符合性审查的不同投标人参与</w:t>
      </w:r>
      <w:r>
        <w:rPr>
          <w:rFonts w:ascii="宋体" w:hAnsi="宋体" w:eastAsia="宋体" w:cs="Times New Roman"/>
          <w:spacing w:val="10"/>
          <w:sz w:val="24"/>
          <w:szCs w:val="20"/>
          <w:highlight w:val="none"/>
        </w:rPr>
        <w:t>投标的</w:t>
      </w:r>
      <w:r>
        <w:rPr>
          <w:rFonts w:hint="eastAsia" w:ascii="宋体" w:hAnsi="宋体" w:eastAsia="宋体" w:cs="Times New Roman"/>
          <w:spacing w:val="10"/>
          <w:sz w:val="24"/>
          <w:szCs w:val="20"/>
          <w:highlight w:val="none"/>
        </w:rPr>
        <w:t>，先对该品牌投标人进行评分，得分最高的同品牌（及型号）投标人继续参加评审，其他同品牌（及型号）投标按无效处理；评审得分相同，则投标价格较低的投标人继续参加评审，价格</w:t>
      </w:r>
      <w:r>
        <w:rPr>
          <w:rFonts w:ascii="宋体" w:hAnsi="宋体" w:eastAsia="宋体" w:cs="Times New Roman"/>
          <w:spacing w:val="10"/>
          <w:sz w:val="24"/>
          <w:szCs w:val="20"/>
          <w:highlight w:val="none"/>
        </w:rPr>
        <w:t>相同的，</w:t>
      </w:r>
      <w:r>
        <w:rPr>
          <w:rFonts w:hint="eastAsia" w:ascii="宋体" w:hAnsi="宋体" w:eastAsia="宋体" w:cs="Times New Roman"/>
          <w:spacing w:val="10"/>
          <w:sz w:val="24"/>
          <w:szCs w:val="20"/>
          <w:highlight w:val="none"/>
        </w:rPr>
        <w:t>则采取随机抽取方式确定。</w:t>
      </w:r>
    </w:p>
    <w:p>
      <w:pPr>
        <w:spacing w:line="300" w:lineRule="auto"/>
        <w:rPr>
          <w:rFonts w:ascii="宋体" w:hAnsi="宋体" w:eastAsia="宋体" w:cs="Times New Roman"/>
          <w:spacing w:val="10"/>
          <w:sz w:val="24"/>
          <w:szCs w:val="20"/>
          <w:highlight w:val="none"/>
        </w:rPr>
      </w:pPr>
      <w:r>
        <w:rPr>
          <w:rFonts w:hint="eastAsia" w:ascii="宋体" w:hAnsi="宋体" w:eastAsia="宋体" w:cs="Times New Roman"/>
          <w:spacing w:val="10"/>
          <w:sz w:val="24"/>
          <w:szCs w:val="20"/>
          <w:highlight w:val="none"/>
        </w:rPr>
        <w:t>4.合并投标后的</w:t>
      </w:r>
      <w:r>
        <w:rPr>
          <w:rFonts w:ascii="宋体" w:hAnsi="宋体" w:eastAsia="宋体" w:cs="Times New Roman"/>
          <w:spacing w:val="10"/>
          <w:sz w:val="24"/>
          <w:szCs w:val="20"/>
          <w:highlight w:val="none"/>
        </w:rPr>
        <w:t>有效</w:t>
      </w:r>
      <w:r>
        <w:rPr>
          <w:rFonts w:hint="eastAsia" w:ascii="宋体" w:hAnsi="宋体" w:eastAsia="宋体" w:cs="Times New Roman"/>
          <w:spacing w:val="10"/>
          <w:sz w:val="24"/>
          <w:szCs w:val="20"/>
          <w:highlight w:val="none"/>
        </w:rPr>
        <w:t>投标</w:t>
      </w:r>
      <w:r>
        <w:rPr>
          <w:rFonts w:ascii="宋体" w:hAnsi="宋体" w:eastAsia="宋体" w:cs="Times New Roman"/>
          <w:spacing w:val="10"/>
          <w:sz w:val="24"/>
          <w:szCs w:val="20"/>
          <w:highlight w:val="none"/>
        </w:rPr>
        <w:t>不足3家，</w:t>
      </w:r>
      <w:r>
        <w:rPr>
          <w:rFonts w:hint="eastAsia" w:ascii="宋体" w:hAnsi="宋体" w:eastAsia="宋体" w:cs="Times New Roman"/>
          <w:spacing w:val="10"/>
          <w:sz w:val="24"/>
          <w:szCs w:val="20"/>
          <w:highlight w:val="none"/>
        </w:rPr>
        <w:t>按流标处理</w:t>
      </w:r>
      <w:r>
        <w:rPr>
          <w:rFonts w:ascii="宋体" w:hAnsi="宋体" w:eastAsia="宋体" w:cs="Times New Roman"/>
          <w:spacing w:val="10"/>
          <w:sz w:val="24"/>
          <w:szCs w:val="20"/>
          <w:highlight w:val="none"/>
        </w:rPr>
        <w:t>。</w:t>
      </w:r>
    </w:p>
    <w:p>
      <w:pPr>
        <w:spacing w:line="300" w:lineRule="auto"/>
        <w:rPr>
          <w:rFonts w:ascii="宋体" w:hAnsi="宋体" w:eastAsia="宋体" w:cs="Times New Roman"/>
          <w:spacing w:val="10"/>
          <w:sz w:val="24"/>
          <w:szCs w:val="20"/>
          <w:highlight w:val="none"/>
        </w:rPr>
      </w:pPr>
      <w:r>
        <w:rPr>
          <w:rFonts w:ascii="宋体" w:hAnsi="宋体" w:eastAsia="宋体" w:cs="Times New Roman"/>
          <w:spacing w:val="10"/>
          <w:sz w:val="24"/>
          <w:szCs w:val="20"/>
          <w:highlight w:val="none"/>
        </w:rPr>
        <w:t>5</w:t>
      </w:r>
      <w:r>
        <w:rPr>
          <w:rFonts w:hint="eastAsia" w:ascii="宋体" w:hAnsi="宋体" w:eastAsia="宋体" w:cs="Times New Roman"/>
          <w:spacing w:val="10"/>
          <w:sz w:val="24"/>
          <w:szCs w:val="20"/>
          <w:highlight w:val="none"/>
        </w:rPr>
        <w:t>.参与评选的有效投标，技术得分在</w:t>
      </w:r>
      <w:r>
        <w:rPr>
          <w:rFonts w:hint="eastAsia" w:ascii="宋体" w:hAnsi="宋体" w:eastAsia="宋体" w:cs="Times New Roman"/>
          <w:spacing w:val="10"/>
          <w:sz w:val="24"/>
          <w:szCs w:val="20"/>
          <w:highlight w:val="none"/>
          <w:lang w:val="en-US" w:eastAsia="zh-CN"/>
        </w:rPr>
        <w:t>42</w:t>
      </w:r>
      <w:r>
        <w:rPr>
          <w:rFonts w:hint="eastAsia" w:ascii="宋体" w:hAnsi="宋体" w:eastAsia="宋体" w:cs="Times New Roman"/>
          <w:spacing w:val="10"/>
          <w:sz w:val="24"/>
          <w:szCs w:val="20"/>
          <w:highlight w:val="none"/>
        </w:rPr>
        <w:t>分及以上的少于</w:t>
      </w:r>
      <w:r>
        <w:rPr>
          <w:rFonts w:hint="eastAsia" w:ascii="宋体" w:hAnsi="宋体" w:eastAsia="宋体" w:cs="Times New Roman"/>
          <w:spacing w:val="10"/>
          <w:sz w:val="24"/>
          <w:szCs w:val="20"/>
          <w:highlight w:val="none"/>
          <w:lang w:val="en-US" w:eastAsia="zh-CN"/>
        </w:rPr>
        <w:t>1</w:t>
      </w:r>
      <w:r>
        <w:rPr>
          <w:rFonts w:hint="eastAsia" w:ascii="宋体" w:hAnsi="宋体" w:eastAsia="宋体" w:cs="Times New Roman"/>
          <w:spacing w:val="10"/>
          <w:sz w:val="24"/>
          <w:szCs w:val="20"/>
          <w:highlight w:val="none"/>
        </w:rPr>
        <w:t>家，本次招标做流标处理。</w:t>
      </w:r>
    </w:p>
    <w:p>
      <w:pPr>
        <w:spacing w:line="300" w:lineRule="auto"/>
        <w:rPr>
          <w:rFonts w:ascii="宋体" w:hAnsi="宋体" w:eastAsia="宋体" w:cs="Times New Roman"/>
          <w:spacing w:val="10"/>
          <w:sz w:val="24"/>
          <w:szCs w:val="20"/>
          <w:highlight w:val="none"/>
        </w:rPr>
      </w:pPr>
      <w:r>
        <w:rPr>
          <w:rFonts w:ascii="宋体" w:hAnsi="宋体" w:eastAsia="宋体" w:cs="Times New Roman"/>
          <w:spacing w:val="10"/>
          <w:sz w:val="24"/>
          <w:szCs w:val="20"/>
          <w:highlight w:val="none"/>
        </w:rPr>
        <w:t>6.</w:t>
      </w:r>
      <w:r>
        <w:rPr>
          <w:rFonts w:hint="eastAsia" w:ascii="宋体" w:hAnsi="宋体" w:eastAsia="宋体" w:cs="Times New Roman"/>
          <w:spacing w:val="10"/>
          <w:sz w:val="24"/>
          <w:szCs w:val="20"/>
          <w:highlight w:val="none"/>
        </w:rPr>
        <w:t>对招标文件或评分标准的理解出现争议时，其最终解释权在招标人。</w:t>
      </w:r>
    </w:p>
    <w:p>
      <w:pPr>
        <w:spacing w:line="360" w:lineRule="auto"/>
        <w:rPr>
          <w:rFonts w:ascii="宋体" w:hAnsi="宋体" w:eastAsia="宋体"/>
          <w:b/>
          <w:sz w:val="28"/>
          <w:highlight w:val="none"/>
        </w:rPr>
      </w:pPr>
      <w:r>
        <w:rPr>
          <w:rFonts w:hint="eastAsia" w:ascii="宋体" w:hAnsi="宋体" w:eastAsia="宋体"/>
          <w:b/>
          <w:sz w:val="28"/>
          <w:highlight w:val="none"/>
        </w:rPr>
        <w:t>二、符合性检查：</w:t>
      </w:r>
    </w:p>
    <w:p>
      <w:pPr>
        <w:spacing w:line="300" w:lineRule="auto"/>
        <w:rPr>
          <w:rFonts w:ascii="宋体" w:hAnsi="宋体" w:eastAsia="宋体"/>
          <w:sz w:val="24"/>
          <w:szCs w:val="24"/>
          <w:highlight w:val="none"/>
        </w:rPr>
      </w:pPr>
      <w:r>
        <w:rPr>
          <w:rFonts w:hint="eastAsia" w:ascii="宋体" w:hAnsi="宋体" w:eastAsia="宋体"/>
          <w:sz w:val="24"/>
          <w:szCs w:val="24"/>
          <w:highlight w:val="none"/>
          <w:lang w:val="zh-CN"/>
        </w:rPr>
        <w:t>凡出现下列情况之一者，予以废标：</w:t>
      </w:r>
    </w:p>
    <w:p>
      <w:pPr>
        <w:numPr>
          <w:ilvl w:val="6"/>
          <w:numId w:val="5"/>
        </w:numPr>
        <w:tabs>
          <w:tab w:val="left" w:pos="360"/>
        </w:tabs>
        <w:spacing w:line="300" w:lineRule="auto"/>
        <w:ind w:left="360" w:hanging="360"/>
        <w:rPr>
          <w:rFonts w:ascii="宋体" w:hAnsi="宋体" w:eastAsia="宋体"/>
          <w:sz w:val="24"/>
          <w:szCs w:val="24"/>
          <w:highlight w:val="none"/>
        </w:rPr>
      </w:pPr>
      <w:r>
        <w:rPr>
          <w:rFonts w:hint="eastAsia" w:ascii="宋体" w:hAnsi="宋体"/>
          <w:sz w:val="24"/>
          <w:highlight w:val="none"/>
        </w:rPr>
        <w:t>投标书不符合本采购书规定的要求；</w:t>
      </w:r>
    </w:p>
    <w:p>
      <w:pPr>
        <w:numPr>
          <w:ilvl w:val="6"/>
          <w:numId w:val="5"/>
        </w:numPr>
        <w:tabs>
          <w:tab w:val="left" w:pos="360"/>
        </w:tabs>
        <w:spacing w:line="300" w:lineRule="auto"/>
        <w:ind w:left="360" w:hanging="360"/>
        <w:rPr>
          <w:rFonts w:ascii="宋体" w:hAnsi="宋体" w:eastAsia="宋体"/>
          <w:sz w:val="24"/>
          <w:szCs w:val="24"/>
          <w:highlight w:val="none"/>
        </w:rPr>
      </w:pPr>
      <w:r>
        <w:rPr>
          <w:rFonts w:hint="eastAsia" w:ascii="宋体" w:hAnsi="宋体"/>
          <w:sz w:val="24"/>
          <w:highlight w:val="none"/>
        </w:rPr>
        <w:t>投标人未提交投标保证金或金额不足；</w:t>
      </w:r>
    </w:p>
    <w:p>
      <w:pPr>
        <w:numPr>
          <w:ilvl w:val="6"/>
          <w:numId w:val="5"/>
        </w:numPr>
        <w:tabs>
          <w:tab w:val="left" w:pos="360"/>
        </w:tabs>
        <w:spacing w:line="300" w:lineRule="auto"/>
        <w:ind w:left="360" w:hanging="360"/>
        <w:rPr>
          <w:rFonts w:ascii="宋体" w:hAnsi="宋体" w:eastAsia="宋体"/>
          <w:sz w:val="24"/>
          <w:szCs w:val="24"/>
          <w:highlight w:val="none"/>
        </w:rPr>
      </w:pPr>
      <w:r>
        <w:rPr>
          <w:rFonts w:hint="eastAsia" w:ascii="宋体" w:hAnsi="宋体" w:eastAsia="宋体"/>
          <w:sz w:val="24"/>
          <w:szCs w:val="24"/>
          <w:highlight w:val="none"/>
        </w:rPr>
        <w:t>投标材料未</w:t>
      </w:r>
      <w:r>
        <w:rPr>
          <w:rFonts w:ascii="宋体" w:hAnsi="宋体" w:eastAsia="宋体"/>
          <w:sz w:val="24"/>
          <w:szCs w:val="24"/>
          <w:highlight w:val="none"/>
        </w:rPr>
        <w:t>按照招标要求</w:t>
      </w:r>
      <w:r>
        <w:rPr>
          <w:rFonts w:hint="eastAsia" w:ascii="宋体" w:hAnsi="宋体" w:eastAsia="宋体"/>
          <w:sz w:val="24"/>
          <w:szCs w:val="24"/>
          <w:highlight w:val="none"/>
        </w:rPr>
        <w:t>加盖公章，或法定代表人（法定代表授权的代理人</w:t>
      </w:r>
      <w:r>
        <w:rPr>
          <w:rFonts w:ascii="宋体" w:hAnsi="宋体" w:eastAsia="宋体"/>
          <w:sz w:val="24"/>
          <w:szCs w:val="24"/>
          <w:highlight w:val="none"/>
        </w:rPr>
        <w:t>）</w:t>
      </w:r>
      <w:r>
        <w:rPr>
          <w:rFonts w:hint="eastAsia" w:ascii="宋体" w:hAnsi="宋体" w:eastAsia="宋体"/>
          <w:sz w:val="24"/>
          <w:szCs w:val="24"/>
          <w:highlight w:val="none"/>
        </w:rPr>
        <w:t>未签字；</w:t>
      </w:r>
    </w:p>
    <w:p>
      <w:pPr>
        <w:numPr>
          <w:ilvl w:val="6"/>
          <w:numId w:val="5"/>
        </w:numPr>
        <w:tabs>
          <w:tab w:val="left" w:pos="360"/>
        </w:tabs>
        <w:spacing w:line="300" w:lineRule="auto"/>
        <w:ind w:left="360" w:hanging="360"/>
        <w:rPr>
          <w:rFonts w:ascii="宋体" w:hAnsi="宋体" w:eastAsia="宋体"/>
          <w:sz w:val="24"/>
          <w:szCs w:val="24"/>
          <w:highlight w:val="none"/>
        </w:rPr>
      </w:pPr>
      <w:r>
        <w:rPr>
          <w:rFonts w:hint="eastAsia" w:ascii="宋体" w:hAnsi="宋体" w:eastAsia="宋体"/>
          <w:sz w:val="24"/>
          <w:szCs w:val="24"/>
          <w:highlight w:val="none"/>
        </w:rPr>
        <w:t>代理人无法定代表人出具的授权委托书；或没有出具法定代表人和代理人身份证复印件者；</w:t>
      </w:r>
    </w:p>
    <w:p>
      <w:pPr>
        <w:numPr>
          <w:ilvl w:val="6"/>
          <w:numId w:val="5"/>
        </w:numPr>
        <w:tabs>
          <w:tab w:val="left" w:pos="360"/>
        </w:tabs>
        <w:spacing w:line="300" w:lineRule="auto"/>
        <w:ind w:left="360" w:hanging="360"/>
        <w:rPr>
          <w:rFonts w:ascii="宋体" w:hAnsi="宋体" w:eastAsia="宋体"/>
          <w:sz w:val="24"/>
          <w:szCs w:val="24"/>
          <w:highlight w:val="none"/>
        </w:rPr>
      </w:pPr>
      <w:r>
        <w:rPr>
          <w:rFonts w:ascii="宋体" w:hAnsi="宋体" w:eastAsia="宋体"/>
          <w:sz w:val="24"/>
          <w:szCs w:val="24"/>
          <w:highlight w:val="none"/>
        </w:rPr>
        <w:t>投标价格</w:t>
      </w:r>
      <w:r>
        <w:rPr>
          <w:rFonts w:hint="eastAsia" w:ascii="宋体" w:hAnsi="宋体" w:eastAsia="宋体"/>
          <w:sz w:val="24"/>
          <w:szCs w:val="24"/>
          <w:highlight w:val="none"/>
        </w:rPr>
        <w:t>大于等于</w:t>
      </w:r>
      <w:r>
        <w:rPr>
          <w:rFonts w:hint="eastAsia" w:ascii="宋体" w:hAnsi="宋体" w:eastAsia="宋体"/>
          <w:sz w:val="24"/>
          <w:szCs w:val="24"/>
          <w:highlight w:val="none"/>
          <w:lang w:val="en-US" w:eastAsia="zh-CN"/>
        </w:rPr>
        <w:t>39</w:t>
      </w:r>
      <w:r>
        <w:rPr>
          <w:rFonts w:ascii="宋体" w:hAnsi="宋体" w:eastAsia="宋体"/>
          <w:sz w:val="24"/>
          <w:szCs w:val="24"/>
          <w:highlight w:val="none"/>
        </w:rPr>
        <w:t>万的</w:t>
      </w:r>
      <w:r>
        <w:rPr>
          <w:rFonts w:hint="eastAsia" w:ascii="宋体" w:hAnsi="宋体" w:eastAsia="宋体"/>
          <w:sz w:val="24"/>
          <w:szCs w:val="24"/>
          <w:highlight w:val="none"/>
        </w:rPr>
        <w:t>；</w:t>
      </w:r>
    </w:p>
    <w:p>
      <w:pPr>
        <w:numPr>
          <w:ilvl w:val="6"/>
          <w:numId w:val="5"/>
        </w:numPr>
        <w:tabs>
          <w:tab w:val="left" w:pos="360"/>
        </w:tabs>
        <w:spacing w:line="300" w:lineRule="auto"/>
        <w:ind w:left="360" w:hanging="360"/>
        <w:rPr>
          <w:rFonts w:ascii="宋体" w:hAnsi="宋体" w:eastAsia="宋体"/>
          <w:sz w:val="24"/>
          <w:szCs w:val="24"/>
          <w:highlight w:val="none"/>
        </w:rPr>
      </w:pPr>
      <w:r>
        <w:rPr>
          <w:rFonts w:hint="eastAsia" w:ascii="宋体" w:hAnsi="宋体"/>
          <w:sz w:val="24"/>
          <w:highlight w:val="none"/>
        </w:rPr>
        <w:t>投标文件未能满足本采购书“商务要求”及</w:t>
      </w:r>
      <w:r>
        <w:rPr>
          <w:rFonts w:ascii="宋体" w:hAnsi="宋体"/>
          <w:sz w:val="24"/>
          <w:highlight w:val="none"/>
        </w:rPr>
        <w:t>所附</w:t>
      </w:r>
      <w:r>
        <w:rPr>
          <w:rFonts w:hint="eastAsia" w:ascii="宋体" w:hAnsi="宋体"/>
          <w:sz w:val="24"/>
          <w:highlight w:val="none"/>
        </w:rPr>
        <w:t>“项目技术需求</w:t>
      </w:r>
      <w:r>
        <w:rPr>
          <w:rFonts w:ascii="宋体" w:hAnsi="宋体"/>
          <w:sz w:val="24"/>
          <w:highlight w:val="none"/>
        </w:rPr>
        <w:t>”</w:t>
      </w:r>
      <w:r>
        <w:rPr>
          <w:rFonts w:hint="eastAsia" w:ascii="宋体" w:hAnsi="宋体"/>
          <w:sz w:val="24"/>
          <w:highlight w:val="none"/>
        </w:rPr>
        <w:t>要求全部条款者；</w:t>
      </w:r>
    </w:p>
    <w:p>
      <w:pPr>
        <w:numPr>
          <w:ilvl w:val="6"/>
          <w:numId w:val="5"/>
        </w:numPr>
        <w:tabs>
          <w:tab w:val="left" w:pos="360"/>
        </w:tabs>
        <w:spacing w:line="300" w:lineRule="auto"/>
        <w:ind w:left="360" w:hanging="360"/>
        <w:rPr>
          <w:rFonts w:ascii="宋体" w:hAnsi="宋体" w:eastAsia="宋体"/>
          <w:sz w:val="24"/>
          <w:szCs w:val="24"/>
          <w:highlight w:val="none"/>
        </w:rPr>
      </w:pPr>
      <w:r>
        <w:rPr>
          <w:rFonts w:hint="eastAsia" w:ascii="宋体" w:hAnsi="宋体" w:eastAsia="宋体"/>
          <w:sz w:val="24"/>
          <w:szCs w:val="24"/>
          <w:highlight w:val="none"/>
        </w:rPr>
        <w:t>递交两份或多份内容不同的投标文件，或在一份投标文件中对同一招标内容报有两个或多个报价，且未声明哪一个为最终报价的（按采购书规定提交备选投标方案的除外）；</w:t>
      </w:r>
    </w:p>
    <w:p>
      <w:pPr>
        <w:numPr>
          <w:ilvl w:val="6"/>
          <w:numId w:val="5"/>
        </w:numPr>
        <w:tabs>
          <w:tab w:val="left" w:pos="360"/>
        </w:tabs>
        <w:spacing w:line="300" w:lineRule="auto"/>
        <w:ind w:left="360" w:hanging="360"/>
        <w:rPr>
          <w:rFonts w:ascii="宋体" w:hAnsi="宋体" w:eastAsia="宋体"/>
          <w:sz w:val="24"/>
          <w:szCs w:val="24"/>
          <w:highlight w:val="none"/>
        </w:rPr>
      </w:pPr>
      <w:r>
        <w:rPr>
          <w:rFonts w:hint="eastAsia" w:ascii="宋体" w:hAnsi="宋体" w:eastAsia="宋体"/>
          <w:sz w:val="24"/>
          <w:szCs w:val="24"/>
          <w:highlight w:val="none"/>
        </w:rPr>
        <w:t>附加条件的报价（除采购书中有规定外）；</w:t>
      </w:r>
    </w:p>
    <w:p>
      <w:pPr>
        <w:numPr>
          <w:ilvl w:val="6"/>
          <w:numId w:val="5"/>
        </w:numPr>
        <w:tabs>
          <w:tab w:val="left" w:pos="360"/>
        </w:tabs>
        <w:spacing w:line="300" w:lineRule="auto"/>
        <w:ind w:left="360" w:hanging="360"/>
        <w:rPr>
          <w:rFonts w:ascii="宋体" w:hAnsi="宋体" w:eastAsia="宋体"/>
          <w:sz w:val="24"/>
          <w:szCs w:val="24"/>
          <w:highlight w:val="none"/>
        </w:rPr>
      </w:pPr>
      <w:r>
        <w:rPr>
          <w:rFonts w:hint="eastAsia" w:ascii="宋体" w:hAnsi="宋体" w:eastAsia="宋体"/>
          <w:sz w:val="24"/>
          <w:szCs w:val="24"/>
          <w:highlight w:val="none"/>
        </w:rPr>
        <w:t>投标人虚假投标，提供的投标文件与事实不符；或在澄清过程中虚假澄清，提供的澄清文件与事实不符；</w:t>
      </w:r>
    </w:p>
    <w:p>
      <w:pPr>
        <w:numPr>
          <w:ilvl w:val="6"/>
          <w:numId w:val="5"/>
        </w:numPr>
        <w:tabs>
          <w:tab w:val="left" w:pos="360"/>
        </w:tabs>
        <w:spacing w:line="300" w:lineRule="auto"/>
        <w:ind w:left="360" w:hanging="360"/>
        <w:rPr>
          <w:rFonts w:ascii="宋体" w:hAnsi="宋体" w:eastAsia="宋体"/>
          <w:sz w:val="24"/>
          <w:szCs w:val="24"/>
          <w:highlight w:val="none"/>
        </w:rPr>
      </w:pPr>
      <w:r>
        <w:rPr>
          <w:rFonts w:hint="eastAsia" w:ascii="宋体" w:hAnsi="宋体" w:eastAsia="宋体"/>
          <w:sz w:val="24"/>
          <w:szCs w:val="24"/>
          <w:highlight w:val="none"/>
        </w:rPr>
        <w:t>开标后，投标人提出降价或进行抬价或利用澄清机会实质性变更投标价的；</w:t>
      </w:r>
    </w:p>
    <w:p>
      <w:pPr>
        <w:numPr>
          <w:ilvl w:val="6"/>
          <w:numId w:val="5"/>
        </w:numPr>
        <w:tabs>
          <w:tab w:val="left" w:pos="360"/>
        </w:tabs>
        <w:spacing w:line="300" w:lineRule="auto"/>
        <w:ind w:left="360" w:hanging="360"/>
        <w:rPr>
          <w:rFonts w:ascii="宋体" w:hAnsi="宋体" w:eastAsia="宋体"/>
          <w:sz w:val="24"/>
          <w:szCs w:val="24"/>
          <w:highlight w:val="none"/>
        </w:rPr>
      </w:pPr>
      <w:r>
        <w:rPr>
          <w:rFonts w:hint="eastAsia" w:ascii="宋体" w:hAnsi="宋体" w:eastAsia="宋体"/>
          <w:sz w:val="24"/>
          <w:szCs w:val="24"/>
          <w:highlight w:val="none"/>
        </w:rPr>
        <w:t>不同投标人</w:t>
      </w:r>
      <w:r>
        <w:rPr>
          <w:rFonts w:ascii="宋体" w:hAnsi="宋体" w:eastAsia="宋体"/>
          <w:sz w:val="24"/>
          <w:szCs w:val="24"/>
          <w:highlight w:val="none"/>
        </w:rPr>
        <w:t>投标文件有雷同现象的</w:t>
      </w:r>
      <w:r>
        <w:rPr>
          <w:rFonts w:ascii="宋体" w:hAnsi="宋体"/>
          <w:sz w:val="24"/>
          <w:highlight w:val="none"/>
        </w:rPr>
        <w:t>或者不同</w:t>
      </w:r>
      <w:r>
        <w:rPr>
          <w:rFonts w:hint="eastAsia" w:ascii="宋体" w:hAnsi="宋体"/>
          <w:sz w:val="24"/>
          <w:highlight w:val="none"/>
        </w:rPr>
        <w:t>投标人</w:t>
      </w:r>
      <w:r>
        <w:rPr>
          <w:rFonts w:ascii="宋体" w:hAnsi="宋体"/>
          <w:sz w:val="24"/>
          <w:highlight w:val="none"/>
        </w:rPr>
        <w:t>的投标保证金来自同一机构的</w:t>
      </w:r>
      <w:r>
        <w:rPr>
          <w:rFonts w:hint="eastAsia" w:ascii="宋体" w:hAnsi="宋体"/>
          <w:sz w:val="24"/>
          <w:highlight w:val="none"/>
        </w:rPr>
        <w:t>（以上</w:t>
      </w:r>
      <w:r>
        <w:rPr>
          <w:rFonts w:ascii="宋体" w:hAnsi="宋体"/>
          <w:sz w:val="24"/>
          <w:highlight w:val="none"/>
        </w:rPr>
        <w:t>情况</w:t>
      </w:r>
      <w:r>
        <w:rPr>
          <w:rFonts w:hint="eastAsia" w:ascii="宋体" w:hAnsi="宋体"/>
          <w:sz w:val="24"/>
          <w:highlight w:val="none"/>
        </w:rPr>
        <w:t>均为</w:t>
      </w:r>
      <w:r>
        <w:rPr>
          <w:rFonts w:ascii="宋体" w:hAnsi="宋体"/>
          <w:sz w:val="24"/>
          <w:highlight w:val="none"/>
        </w:rPr>
        <w:t>废标）</w:t>
      </w:r>
      <w:r>
        <w:rPr>
          <w:rFonts w:hint="eastAsia" w:ascii="宋体" w:hAnsi="宋体" w:eastAsia="宋体"/>
          <w:sz w:val="24"/>
          <w:szCs w:val="24"/>
          <w:highlight w:val="none"/>
        </w:rPr>
        <w:t>；</w:t>
      </w:r>
    </w:p>
    <w:p>
      <w:pPr>
        <w:numPr>
          <w:ilvl w:val="6"/>
          <w:numId w:val="5"/>
        </w:numPr>
        <w:tabs>
          <w:tab w:val="left" w:pos="360"/>
        </w:tabs>
        <w:spacing w:line="300" w:lineRule="auto"/>
        <w:ind w:left="360" w:hanging="360"/>
        <w:rPr>
          <w:rFonts w:ascii="宋体" w:hAnsi="宋体" w:eastAsia="宋体"/>
          <w:sz w:val="24"/>
          <w:szCs w:val="24"/>
          <w:highlight w:val="none"/>
        </w:rPr>
      </w:pPr>
      <w:r>
        <w:rPr>
          <w:rFonts w:hint="eastAsia" w:ascii="宋体" w:hAnsi="宋体" w:eastAsia="宋体"/>
          <w:sz w:val="24"/>
          <w:szCs w:val="24"/>
          <w:highlight w:val="none"/>
        </w:rPr>
        <w:t>投标人存在</w:t>
      </w:r>
      <w:r>
        <w:rPr>
          <w:rFonts w:ascii="宋体" w:hAnsi="宋体" w:eastAsia="宋体"/>
          <w:sz w:val="24"/>
          <w:szCs w:val="24"/>
          <w:highlight w:val="none"/>
        </w:rPr>
        <w:t>舞弊或串标行为的</w:t>
      </w:r>
      <w:r>
        <w:rPr>
          <w:rFonts w:hint="eastAsia" w:ascii="宋体" w:hAnsi="宋体" w:eastAsia="宋体"/>
          <w:sz w:val="24"/>
          <w:szCs w:val="24"/>
          <w:highlight w:val="none"/>
        </w:rPr>
        <w:t>；</w:t>
      </w:r>
    </w:p>
    <w:p>
      <w:pPr>
        <w:numPr>
          <w:ilvl w:val="6"/>
          <w:numId w:val="5"/>
        </w:numPr>
        <w:tabs>
          <w:tab w:val="left" w:pos="360"/>
        </w:tabs>
        <w:spacing w:line="300" w:lineRule="auto"/>
        <w:ind w:left="360" w:hanging="360"/>
        <w:rPr>
          <w:rFonts w:ascii="宋体" w:hAnsi="宋体" w:eastAsia="宋体"/>
          <w:sz w:val="24"/>
          <w:szCs w:val="24"/>
          <w:highlight w:val="none"/>
        </w:rPr>
      </w:pPr>
      <w:r>
        <w:rPr>
          <w:rFonts w:hint="eastAsia" w:ascii="宋体" w:hAnsi="宋体" w:eastAsia="宋体"/>
          <w:sz w:val="24"/>
          <w:szCs w:val="24"/>
          <w:highlight w:val="none"/>
        </w:rPr>
        <w:t>有其他违法违规情形的</w:t>
      </w:r>
      <w:r>
        <w:rPr>
          <w:rFonts w:hint="eastAsia" w:ascii="宋体" w:hAnsi="宋体"/>
          <w:sz w:val="24"/>
          <w:szCs w:val="24"/>
          <w:highlight w:val="none"/>
        </w:rPr>
        <w:t>或符合</w:t>
      </w:r>
      <w:r>
        <w:rPr>
          <w:rFonts w:ascii="宋体" w:hAnsi="宋体"/>
          <w:sz w:val="24"/>
          <w:szCs w:val="24"/>
          <w:highlight w:val="none"/>
        </w:rPr>
        <w:t>采购书</w:t>
      </w:r>
      <w:r>
        <w:rPr>
          <w:rFonts w:hint="eastAsia" w:ascii="宋体" w:hAnsi="宋体"/>
          <w:sz w:val="24"/>
          <w:szCs w:val="24"/>
          <w:highlight w:val="none"/>
        </w:rPr>
        <w:t>规定</w:t>
      </w:r>
      <w:r>
        <w:rPr>
          <w:rFonts w:ascii="宋体" w:hAnsi="宋体"/>
          <w:sz w:val="24"/>
          <w:szCs w:val="24"/>
          <w:highlight w:val="none"/>
        </w:rPr>
        <w:t>的其他废标条件的</w:t>
      </w:r>
      <w:r>
        <w:rPr>
          <w:rFonts w:hint="eastAsia" w:ascii="宋体" w:hAnsi="宋体" w:eastAsia="宋体"/>
          <w:sz w:val="24"/>
          <w:szCs w:val="24"/>
          <w:highlight w:val="none"/>
        </w:rPr>
        <w:t>。</w:t>
      </w:r>
    </w:p>
    <w:p>
      <w:pPr>
        <w:spacing w:line="360" w:lineRule="auto"/>
        <w:rPr>
          <w:rFonts w:ascii="宋体" w:hAnsi="宋体" w:eastAsia="宋体"/>
          <w:b/>
          <w:sz w:val="28"/>
          <w:highlight w:val="none"/>
        </w:rPr>
      </w:pPr>
      <w:r>
        <w:rPr>
          <w:rFonts w:hint="eastAsia" w:ascii="宋体" w:hAnsi="宋体" w:eastAsia="宋体"/>
          <w:b/>
          <w:sz w:val="28"/>
          <w:highlight w:val="none"/>
        </w:rPr>
        <w:t>三、评分标准</w:t>
      </w:r>
    </w:p>
    <w:p>
      <w:pPr>
        <w:pStyle w:val="6"/>
        <w:spacing w:line="300" w:lineRule="auto"/>
        <w:ind w:left="0" w:leftChars="0" w:firstLine="566" w:firstLineChars="236"/>
        <w:rPr>
          <w:rFonts w:hAnsi="宋体" w:cstheme="minorBidi"/>
          <w:spacing w:val="0"/>
          <w:szCs w:val="24"/>
          <w:highlight w:val="none"/>
        </w:rPr>
      </w:pPr>
      <w:r>
        <w:rPr>
          <w:rFonts w:hint="eastAsia" w:hAnsi="宋体" w:cstheme="minorBidi"/>
          <w:spacing w:val="0"/>
          <w:szCs w:val="24"/>
          <w:highlight w:val="none"/>
        </w:rPr>
        <w:t>本招标评标采用综合评分法，满分为100分：其中商务分为</w:t>
      </w:r>
      <w:r>
        <w:rPr>
          <w:rFonts w:hint="eastAsia" w:hAnsi="宋体" w:cstheme="minorBidi"/>
          <w:spacing w:val="0"/>
          <w:szCs w:val="24"/>
          <w:highlight w:val="none"/>
          <w:lang w:val="en-US" w:eastAsia="zh-CN"/>
        </w:rPr>
        <w:t>30</w:t>
      </w:r>
      <w:r>
        <w:rPr>
          <w:rFonts w:hint="eastAsia" w:hAnsi="宋体" w:cstheme="minorBidi"/>
          <w:spacing w:val="0"/>
          <w:szCs w:val="24"/>
          <w:highlight w:val="none"/>
        </w:rPr>
        <w:t>分，技术分为</w:t>
      </w:r>
      <w:r>
        <w:rPr>
          <w:rFonts w:hint="eastAsia" w:hAnsi="宋体" w:cstheme="minorBidi"/>
          <w:spacing w:val="0"/>
          <w:szCs w:val="24"/>
          <w:highlight w:val="none"/>
          <w:lang w:val="en-US" w:eastAsia="zh-CN"/>
        </w:rPr>
        <w:t>70</w:t>
      </w:r>
      <w:r>
        <w:rPr>
          <w:rFonts w:hint="eastAsia" w:hAnsi="宋体" w:cstheme="minorBidi"/>
          <w:spacing w:val="0"/>
          <w:szCs w:val="24"/>
          <w:highlight w:val="none"/>
        </w:rPr>
        <w:t>分。</w:t>
      </w:r>
    </w:p>
    <w:p>
      <w:pPr>
        <w:pStyle w:val="6"/>
        <w:spacing w:line="300" w:lineRule="auto"/>
        <w:ind w:left="0" w:leftChars="0" w:firstLine="566" w:firstLineChars="236"/>
        <w:rPr>
          <w:rFonts w:hAnsi="宋体" w:cstheme="minorBidi"/>
          <w:spacing w:val="0"/>
          <w:szCs w:val="24"/>
          <w:highlight w:val="none"/>
        </w:rPr>
      </w:pPr>
      <w:r>
        <w:rPr>
          <w:rFonts w:hint="eastAsia" w:hAnsi="宋体" w:cstheme="minorBidi"/>
          <w:spacing w:val="0"/>
          <w:szCs w:val="24"/>
          <w:highlight w:val="none"/>
        </w:rPr>
        <w:t>对本次招标中涉及的各项评分因素分数之和为综合得分；综合得分按照由高到低排序并作为中标候选人选用顺序。</w:t>
      </w:r>
    </w:p>
    <w:p>
      <w:pPr>
        <w:pStyle w:val="6"/>
        <w:spacing w:line="300" w:lineRule="auto"/>
        <w:ind w:left="0" w:leftChars="0" w:firstLine="566" w:firstLineChars="236"/>
        <w:rPr>
          <w:rFonts w:hAnsi="宋体" w:cstheme="minorBidi"/>
          <w:spacing w:val="0"/>
          <w:szCs w:val="24"/>
          <w:highlight w:val="none"/>
        </w:rPr>
      </w:pPr>
      <w:r>
        <w:rPr>
          <w:rFonts w:hint="eastAsia" w:hAnsi="宋体" w:cstheme="minorBidi"/>
          <w:spacing w:val="0"/>
          <w:szCs w:val="24"/>
          <w:highlight w:val="none"/>
        </w:rPr>
        <w:t>如某投标人报价低于其他通过符合性审查投标人报价均价的比例超过</w:t>
      </w:r>
      <w:r>
        <w:rPr>
          <w:rFonts w:hint="eastAsia" w:hAnsi="宋体" w:cstheme="minorBidi"/>
          <w:spacing w:val="0"/>
          <w:szCs w:val="24"/>
          <w:highlight w:val="none"/>
          <w:lang w:val="en-US" w:eastAsia="zh-CN"/>
        </w:rPr>
        <w:t>28.39</w:t>
      </w:r>
      <w:r>
        <w:rPr>
          <w:rFonts w:hint="eastAsia" w:hAnsi="宋体" w:cstheme="minorBidi"/>
          <w:spacing w:val="0"/>
          <w:szCs w:val="24"/>
          <w:highlight w:val="none"/>
        </w:rPr>
        <w:t>%（含），需在合理的时间内提供书面说明，</w:t>
      </w:r>
      <w:r>
        <w:rPr>
          <w:rFonts w:hAnsi="宋体" w:cstheme="minorBidi"/>
          <w:spacing w:val="0"/>
          <w:szCs w:val="24"/>
          <w:highlight w:val="none"/>
        </w:rPr>
        <w:t>证明其能够诚信履约并承诺中标后</w:t>
      </w:r>
      <w:r>
        <w:rPr>
          <w:rFonts w:hint="eastAsia" w:hAnsi="宋体" w:cstheme="minorBidi"/>
          <w:spacing w:val="0"/>
          <w:szCs w:val="24"/>
          <w:highlight w:val="none"/>
        </w:rPr>
        <w:t>提供采购</w:t>
      </w:r>
      <w:r>
        <w:rPr>
          <w:rFonts w:hAnsi="宋体" w:cstheme="minorBidi"/>
          <w:spacing w:val="0"/>
          <w:szCs w:val="24"/>
          <w:highlight w:val="none"/>
        </w:rPr>
        <w:t>文件规定以外的履约担保的，可以继续参加评审，否则评标委员会应当将其作为无效投标处理</w:t>
      </w:r>
      <w:r>
        <w:rPr>
          <w:rFonts w:hint="eastAsia" w:hAnsi="宋体" w:cstheme="minorBidi"/>
          <w:spacing w:val="0"/>
          <w:szCs w:val="24"/>
          <w:highlight w:val="none"/>
        </w:rPr>
        <w:t>。</w:t>
      </w:r>
    </w:p>
    <w:p>
      <w:pPr>
        <w:spacing w:line="360" w:lineRule="auto"/>
        <w:rPr>
          <w:rFonts w:ascii="宋体" w:hAnsi="宋体" w:eastAsia="宋体"/>
          <w:b/>
          <w:sz w:val="28"/>
          <w:highlight w:val="none"/>
        </w:rPr>
      </w:pPr>
      <w:r>
        <w:rPr>
          <w:rFonts w:hint="eastAsia" w:ascii="宋体" w:hAnsi="宋体" w:eastAsia="宋体"/>
          <w:b/>
          <w:sz w:val="28"/>
          <w:highlight w:val="none"/>
        </w:rPr>
        <w:t>四</w:t>
      </w:r>
      <w:r>
        <w:rPr>
          <w:rFonts w:ascii="宋体" w:hAnsi="宋体" w:eastAsia="宋体"/>
          <w:b/>
          <w:sz w:val="28"/>
          <w:highlight w:val="none"/>
        </w:rPr>
        <w:t>、</w:t>
      </w:r>
      <w:r>
        <w:rPr>
          <w:rFonts w:hint="eastAsia" w:ascii="宋体" w:hAnsi="宋体" w:eastAsia="宋体"/>
          <w:b/>
          <w:sz w:val="28"/>
          <w:highlight w:val="none"/>
        </w:rPr>
        <w:t>商务评分</w:t>
      </w:r>
    </w:p>
    <w:p>
      <w:pPr>
        <w:pStyle w:val="6"/>
        <w:spacing w:line="300" w:lineRule="auto"/>
        <w:ind w:left="0" w:leftChars="0" w:firstLine="613" w:firstLineChars="236"/>
        <w:rPr>
          <w:rFonts w:hAnsi="宋体"/>
          <w:szCs w:val="24"/>
          <w:highlight w:val="none"/>
        </w:rPr>
      </w:pPr>
      <w:r>
        <w:rPr>
          <w:rFonts w:hAnsi="宋体"/>
          <w:szCs w:val="24"/>
          <w:highlight w:val="none"/>
        </w:rPr>
        <w:t>符合招标文件要求</w:t>
      </w:r>
      <w:r>
        <w:rPr>
          <w:rFonts w:hint="eastAsia" w:hAnsi="宋体"/>
          <w:szCs w:val="24"/>
          <w:highlight w:val="none"/>
        </w:rPr>
        <w:t>的</w:t>
      </w:r>
      <w:r>
        <w:rPr>
          <w:rFonts w:hAnsi="宋体"/>
          <w:szCs w:val="24"/>
          <w:highlight w:val="none"/>
        </w:rPr>
        <w:t>为有效投标</w:t>
      </w:r>
      <w:r>
        <w:rPr>
          <w:rFonts w:hint="eastAsia" w:hAnsi="宋体"/>
          <w:szCs w:val="24"/>
          <w:highlight w:val="none"/>
        </w:rPr>
        <w:t>。投标价</w:t>
      </w:r>
      <w:r>
        <w:rPr>
          <w:rFonts w:hAnsi="宋体"/>
          <w:szCs w:val="24"/>
          <w:highlight w:val="none"/>
        </w:rPr>
        <w:t>为</w:t>
      </w:r>
      <w:r>
        <w:rPr>
          <w:rFonts w:hint="eastAsia" w:hAnsi="宋体"/>
          <w:szCs w:val="24"/>
          <w:highlight w:val="none"/>
        </w:rPr>
        <w:t>基准价得满分</w:t>
      </w:r>
      <w:r>
        <w:rPr>
          <w:rFonts w:hint="eastAsia" w:hAnsi="宋体"/>
          <w:szCs w:val="24"/>
          <w:highlight w:val="none"/>
          <w:lang w:val="en-US" w:eastAsia="zh-CN"/>
        </w:rPr>
        <w:t>30</w:t>
      </w:r>
      <w:r>
        <w:rPr>
          <w:rFonts w:hint="eastAsia" w:hAnsi="宋体"/>
          <w:szCs w:val="24"/>
          <w:highlight w:val="none"/>
        </w:rPr>
        <w:t>分，以</w:t>
      </w:r>
      <w:r>
        <w:rPr>
          <w:rFonts w:hAnsi="宋体"/>
          <w:szCs w:val="24"/>
          <w:highlight w:val="none"/>
        </w:rPr>
        <w:t>基准价为基础，</w:t>
      </w:r>
      <w:r>
        <w:rPr>
          <w:rFonts w:hint="eastAsia" w:hAnsi="宋体"/>
          <w:szCs w:val="24"/>
          <w:highlight w:val="none"/>
        </w:rPr>
        <w:t>投标报价得分计算公式如下：</w:t>
      </w:r>
    </w:p>
    <w:p>
      <w:pPr>
        <w:pStyle w:val="6"/>
        <w:spacing w:line="300" w:lineRule="auto"/>
        <w:ind w:left="0" w:leftChars="0" w:firstLine="520" w:firstLineChars="200"/>
        <w:rPr>
          <w:rFonts w:hAnsi="宋体"/>
          <w:szCs w:val="24"/>
          <w:highlight w:val="none"/>
        </w:rPr>
      </w:pPr>
      <w:r>
        <w:rPr>
          <w:rFonts w:hint="eastAsia" w:hAnsi="宋体"/>
          <w:szCs w:val="24"/>
          <w:highlight w:val="none"/>
        </w:rPr>
        <w:t>投标基准价=有效投标最低价</w:t>
      </w:r>
    </w:p>
    <w:p>
      <w:pPr>
        <w:pStyle w:val="6"/>
        <w:spacing w:line="300" w:lineRule="auto"/>
        <w:ind w:left="0" w:leftChars="0" w:firstLine="520" w:firstLineChars="200"/>
        <w:rPr>
          <w:rFonts w:hint="default" w:hAnsi="宋体" w:eastAsia="宋体"/>
          <w:snapToGrid w:val="0"/>
          <w:szCs w:val="24"/>
          <w:highlight w:val="none"/>
          <w:lang w:val="en-US" w:eastAsia="zh-CN"/>
        </w:rPr>
      </w:pPr>
      <w:r>
        <w:rPr>
          <w:rFonts w:hint="eastAsia" w:hAnsi="宋体"/>
          <w:szCs w:val="24"/>
          <w:highlight w:val="none"/>
        </w:rPr>
        <w:t>投标报价得分=(评标基准价/投标报价)×</w:t>
      </w:r>
      <w:r>
        <w:rPr>
          <w:rFonts w:hint="eastAsia" w:hAnsi="宋体"/>
          <w:szCs w:val="24"/>
          <w:highlight w:val="none"/>
          <w:lang w:val="en-US" w:eastAsia="zh-CN"/>
        </w:rPr>
        <w:t>30</w:t>
      </w:r>
    </w:p>
    <w:p>
      <w:pPr>
        <w:pStyle w:val="6"/>
        <w:spacing w:line="300" w:lineRule="auto"/>
        <w:ind w:left="0" w:leftChars="0" w:firstLine="520" w:firstLineChars="200"/>
        <w:rPr>
          <w:rFonts w:hAnsi="宋体"/>
          <w:snapToGrid w:val="0"/>
          <w:szCs w:val="24"/>
          <w:highlight w:val="none"/>
        </w:rPr>
      </w:pPr>
      <w:r>
        <w:rPr>
          <w:rFonts w:hint="eastAsia" w:hAnsi="宋体"/>
          <w:snapToGrid w:val="0"/>
          <w:szCs w:val="24"/>
          <w:highlight w:val="none"/>
        </w:rPr>
        <w:t>（取小数点后两位，四舍五入）</w:t>
      </w:r>
      <w:r>
        <w:rPr>
          <w:rFonts w:hint="eastAsia" w:hAnsi="宋体"/>
          <w:szCs w:val="24"/>
          <w:highlight w:val="none"/>
        </w:rPr>
        <w:t>。</w:t>
      </w:r>
    </w:p>
    <w:p>
      <w:pPr>
        <w:tabs>
          <w:tab w:val="left" w:pos="567"/>
        </w:tabs>
        <w:spacing w:before="100" w:beforeAutospacing="1" w:line="360" w:lineRule="auto"/>
        <w:rPr>
          <w:rFonts w:ascii="宋体" w:hAnsi="宋体" w:eastAsia="宋体"/>
          <w:b/>
          <w:sz w:val="28"/>
          <w:highlight w:val="none"/>
        </w:rPr>
      </w:pPr>
      <w:r>
        <w:rPr>
          <w:rFonts w:hint="eastAsia" w:ascii="宋体" w:hAnsi="宋体" w:eastAsia="宋体"/>
          <w:b/>
          <w:sz w:val="28"/>
          <w:highlight w:val="none"/>
        </w:rPr>
        <w:t>五</w:t>
      </w:r>
      <w:r>
        <w:rPr>
          <w:rFonts w:ascii="宋体" w:hAnsi="宋体" w:eastAsia="宋体"/>
          <w:b/>
          <w:sz w:val="28"/>
          <w:highlight w:val="none"/>
        </w:rPr>
        <w:t>、技术评分</w:t>
      </w:r>
    </w:p>
    <w:p>
      <w:pPr>
        <w:spacing w:line="300" w:lineRule="auto"/>
        <w:ind w:firstLine="480" w:firstLineChars="200"/>
        <w:rPr>
          <w:rFonts w:ascii="宋体" w:hAnsi="宋体" w:eastAsia="宋体"/>
          <w:sz w:val="24"/>
          <w:highlight w:val="none"/>
        </w:rPr>
      </w:pPr>
      <w:r>
        <w:rPr>
          <w:rFonts w:hint="eastAsia" w:ascii="宋体" w:hAnsi="宋体" w:eastAsia="宋体"/>
          <w:sz w:val="24"/>
          <w:highlight w:val="none"/>
        </w:rPr>
        <w:t>评委对各份投标书根据以下内容进行分析评定后各自打分。为使评分时能体现量化，评委按以下内容进行评定后打分，各项得分合计后计算算术平均值为各投标人的最终得分。</w:t>
      </w:r>
    </w:p>
    <w:p>
      <w:pPr>
        <w:spacing w:line="300" w:lineRule="auto"/>
        <w:ind w:firstLine="480" w:firstLineChars="200"/>
        <w:rPr>
          <w:rFonts w:ascii="宋体" w:hAnsi="宋体" w:eastAsia="宋体"/>
          <w:sz w:val="24"/>
          <w:highlight w:val="none"/>
        </w:rPr>
      </w:pPr>
      <w:r>
        <w:rPr>
          <w:rFonts w:hint="eastAsia" w:ascii="宋体" w:hAnsi="宋体" w:eastAsia="宋体"/>
          <w:sz w:val="24"/>
          <w:highlight w:val="none"/>
        </w:rPr>
        <w:t>具体</w:t>
      </w:r>
      <w:r>
        <w:rPr>
          <w:rFonts w:ascii="宋体" w:hAnsi="宋体" w:eastAsia="宋体"/>
          <w:sz w:val="24"/>
          <w:highlight w:val="none"/>
        </w:rPr>
        <w:t>评分方式见下表</w:t>
      </w:r>
      <w:r>
        <w:rPr>
          <w:rFonts w:hint="eastAsia" w:ascii="宋体" w:hAnsi="宋体" w:eastAsia="宋体"/>
          <w:sz w:val="24"/>
          <w:highlight w:val="none"/>
        </w:rPr>
        <w:t>：</w:t>
      </w:r>
    </w:p>
    <w:tbl>
      <w:tblPr>
        <w:tblStyle w:val="1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7"/>
        <w:gridCol w:w="6345"/>
        <w:gridCol w:w="7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30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评标要素</w:t>
            </w:r>
          </w:p>
        </w:tc>
        <w:tc>
          <w:tcPr>
            <w:tcW w:w="634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评分项</w:t>
            </w:r>
          </w:p>
        </w:tc>
        <w:tc>
          <w:tcPr>
            <w:tcW w:w="77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1307" w:type="dxa"/>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品牌实力</w:t>
            </w:r>
          </w:p>
        </w:tc>
        <w:tc>
          <w:tcPr>
            <w:tcW w:w="6345" w:type="dxa"/>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1、投标方提供所投设备厂商的时钟服务器在2021年至今的采购合同,每份合同得2分，最多可提供6份合同，本项满分12分(如提供超过6份合同则取前6份合同进行评分)。</w:t>
            </w:r>
          </w:p>
        </w:tc>
        <w:tc>
          <w:tcPr>
            <w:tcW w:w="777" w:type="dxa"/>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1" w:hRule="atLeast"/>
        </w:trPr>
        <w:tc>
          <w:tcPr>
            <w:tcW w:w="130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4"/>
                <w:szCs w:val="24"/>
                <w:highlight w:val="none"/>
                <w:u w:val="none"/>
              </w:rPr>
            </w:pPr>
          </w:p>
        </w:tc>
        <w:tc>
          <w:tcPr>
            <w:tcW w:w="63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注：①合同涉及产品可为本次投标时钟服务器或原厂商同类时钟服务器产品；合同签署人不需为投标人。②合同无签署日期不得分；合同标的不与投标产品同类不得分。</w:t>
            </w:r>
          </w:p>
        </w:tc>
        <w:tc>
          <w:tcPr>
            <w:tcW w:w="777"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3" w:hRule="atLeast"/>
        </w:trPr>
        <w:tc>
          <w:tcPr>
            <w:tcW w:w="130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4"/>
                <w:szCs w:val="24"/>
                <w:highlight w:val="none"/>
                <w:u w:val="none"/>
              </w:rPr>
            </w:pPr>
          </w:p>
        </w:tc>
        <w:tc>
          <w:tcPr>
            <w:tcW w:w="63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2、投标厂商具有ISO 20000信息技术服务管理体系认证或ISO 27001信息安全管理体系认证或ISO 9001质量管理体系认证或ISO 14000环境管理体系认证，或评委认可的其他项目相关的资质，每个得1分，本项满分4分（须提供有效期内的资质证明材料）。</w:t>
            </w:r>
          </w:p>
        </w:tc>
        <w:tc>
          <w:tcPr>
            <w:tcW w:w="77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1" w:hRule="atLeast"/>
        </w:trPr>
        <w:tc>
          <w:tcPr>
            <w:tcW w:w="130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产品优势</w:t>
            </w:r>
          </w:p>
        </w:tc>
        <w:tc>
          <w:tcPr>
            <w:tcW w:w="63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3、NTP端口处理能力请求数≥40000次得2分,20000≤请求数&lt;40000得1</w:t>
            </w:r>
            <w:r>
              <w:rPr>
                <w:rStyle w:val="37"/>
                <w:highlight w:val="none"/>
                <w:lang w:val="en-US" w:eastAsia="zh-CN" w:bidi="ar"/>
              </w:rPr>
              <w:t>分,请求数&lt;20000不得分，须提供实验室检测结果或其他证明材料。</w:t>
            </w:r>
          </w:p>
        </w:tc>
        <w:tc>
          <w:tcPr>
            <w:tcW w:w="77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1307"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4"/>
                <w:szCs w:val="24"/>
                <w:highlight w:val="none"/>
                <w:u w:val="none"/>
              </w:rPr>
            </w:pPr>
          </w:p>
        </w:tc>
        <w:tc>
          <w:tcPr>
            <w:tcW w:w="63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4、投标产品配套监控软件，可详细记录客户端校时信息,方案中需详细介绍，根据信息记录详细程度等因素得0-3分。</w:t>
            </w:r>
          </w:p>
        </w:tc>
        <w:tc>
          <w:tcPr>
            <w:tcW w:w="77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1307"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4"/>
                <w:szCs w:val="24"/>
                <w:highlight w:val="none"/>
                <w:u w:val="none"/>
              </w:rPr>
            </w:pPr>
          </w:p>
        </w:tc>
        <w:tc>
          <w:tcPr>
            <w:tcW w:w="63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5、投标产品支持集群高可用冗余架构,方案中需详细介绍，根据其架构实现技术得0-3分。</w:t>
            </w:r>
          </w:p>
        </w:tc>
        <w:tc>
          <w:tcPr>
            <w:tcW w:w="77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307"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4"/>
                <w:szCs w:val="24"/>
                <w:highlight w:val="none"/>
                <w:u w:val="none"/>
              </w:rPr>
            </w:pPr>
          </w:p>
        </w:tc>
        <w:tc>
          <w:tcPr>
            <w:tcW w:w="63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6、投标产品提供手持接收机校时，可无需天线校时的，得3分。</w:t>
            </w:r>
          </w:p>
        </w:tc>
        <w:tc>
          <w:tcPr>
            <w:tcW w:w="77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1307"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4"/>
                <w:szCs w:val="24"/>
                <w:highlight w:val="none"/>
                <w:u w:val="none"/>
              </w:rPr>
            </w:pPr>
          </w:p>
        </w:tc>
        <w:tc>
          <w:tcPr>
            <w:tcW w:w="63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7、设备配置1个RJ45管理网口和1个console的，得2分，其中任意一个没有不得分。</w:t>
            </w:r>
          </w:p>
        </w:tc>
        <w:tc>
          <w:tcPr>
            <w:tcW w:w="77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1307"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4"/>
                <w:szCs w:val="24"/>
                <w:highlight w:val="none"/>
                <w:u w:val="none"/>
              </w:rPr>
            </w:pPr>
          </w:p>
        </w:tc>
        <w:tc>
          <w:tcPr>
            <w:tcW w:w="63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8、投标产品设备高度为1U得2分，设备高度为2U得1分, 设备高度&gt;2U不得分。</w:t>
            </w:r>
          </w:p>
        </w:tc>
        <w:tc>
          <w:tcPr>
            <w:tcW w:w="77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3" w:hRule="atLeast"/>
        </w:trPr>
        <w:tc>
          <w:tcPr>
            <w:tcW w:w="130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投标方案</w:t>
            </w:r>
          </w:p>
        </w:tc>
        <w:tc>
          <w:tcPr>
            <w:tcW w:w="63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9、投标方针对此次投标项目指定原厂专人项目经理且行业经验丰富，有5年及以上工作经验,综合评估个人能力得0-3分，项目经理拥有PMP资质再得1分(人员工作经验及PMP均需提供证明材料)。</w:t>
            </w:r>
          </w:p>
        </w:tc>
        <w:tc>
          <w:tcPr>
            <w:tcW w:w="7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6" w:hRule="atLeast"/>
        </w:trPr>
        <w:tc>
          <w:tcPr>
            <w:tcW w:w="1307"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4"/>
                <w:szCs w:val="24"/>
                <w:highlight w:val="none"/>
                <w:u w:val="none"/>
              </w:rPr>
            </w:pPr>
          </w:p>
        </w:tc>
        <w:tc>
          <w:tcPr>
            <w:tcW w:w="63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10、投标方针对此次投标项目提供负责项目实施的原厂工程师名单（需提供证明文件，如社保单），2名（含）及以上得2分；1名（含）以下不得分。</w:t>
            </w:r>
          </w:p>
        </w:tc>
        <w:tc>
          <w:tcPr>
            <w:tcW w:w="7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8" w:hRule="atLeast"/>
        </w:trPr>
        <w:tc>
          <w:tcPr>
            <w:tcW w:w="1307"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4"/>
                <w:szCs w:val="24"/>
                <w:highlight w:val="none"/>
                <w:u w:val="none"/>
              </w:rPr>
            </w:pPr>
          </w:p>
        </w:tc>
        <w:tc>
          <w:tcPr>
            <w:tcW w:w="63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11、对招标文件中的总体部署实施方案：①有基本合理的部署方案，得0-2分；②部署方案对需求理解深刻，技术路线合理，高可用性强，部署方式先进，再得0-3分，③无方案不得分；本项满分5分。</w:t>
            </w:r>
          </w:p>
        </w:tc>
        <w:tc>
          <w:tcPr>
            <w:tcW w:w="7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8" w:hRule="atLeast"/>
        </w:trPr>
        <w:tc>
          <w:tcPr>
            <w:tcW w:w="1307"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4"/>
                <w:szCs w:val="24"/>
                <w:highlight w:val="none"/>
                <w:u w:val="none"/>
              </w:rPr>
            </w:pPr>
          </w:p>
        </w:tc>
        <w:tc>
          <w:tcPr>
            <w:tcW w:w="63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12、对招标文件中的项目集成时间计划：①有基本的项目时间计划，得0-2分；②时间计划中对每个重要节点的规划合理、任务描述清晰，并有相应提交物目录，再得0-3分；③无计划不得分；本项满分5分。</w:t>
            </w:r>
          </w:p>
        </w:tc>
        <w:tc>
          <w:tcPr>
            <w:tcW w:w="7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5" w:hRule="atLeast"/>
        </w:trPr>
        <w:tc>
          <w:tcPr>
            <w:tcW w:w="1307"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4"/>
                <w:szCs w:val="24"/>
                <w:highlight w:val="none"/>
                <w:u w:val="none"/>
              </w:rPr>
            </w:pPr>
          </w:p>
        </w:tc>
        <w:tc>
          <w:tcPr>
            <w:tcW w:w="63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对招标文件中的项目质量管理：①有基本的项目质量管理方案，质量管理覆盖项目全过程，视质量管理方案对项目的理解得0-2分；②项目质量管理方案细化清晰，对项目进行中可能存在的风险均有具体应对措施，再得0-3分；③无方案不得分；本项满分5分。</w:t>
            </w:r>
          </w:p>
        </w:tc>
        <w:tc>
          <w:tcPr>
            <w:tcW w:w="7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1307"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4"/>
                <w:szCs w:val="24"/>
                <w:highlight w:val="none"/>
                <w:u w:val="none"/>
              </w:rPr>
            </w:pPr>
          </w:p>
        </w:tc>
        <w:tc>
          <w:tcPr>
            <w:tcW w:w="63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对招标文件中的项目验收方案：①有基本合理的验收方案，得0-2分；②验收方案对项目各阶段验收工作描述详尽，具备专业体系化的验收标准，对验收各阶段可能存在的不通过情况均有应对方案，再得0-3分；③无方案不得分；本项满分5分。</w:t>
            </w:r>
          </w:p>
        </w:tc>
        <w:tc>
          <w:tcPr>
            <w:tcW w:w="7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307"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4"/>
                <w:szCs w:val="24"/>
                <w:highlight w:val="none"/>
                <w:u w:val="none"/>
              </w:rPr>
            </w:pPr>
          </w:p>
        </w:tc>
        <w:tc>
          <w:tcPr>
            <w:tcW w:w="63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对招标文件中得售后维护方案：①有基本日常故障处理流程及方案的得0-2分；②故障处理流程描述清晰得当、售后保障方案可执行强，售后响应体系完整，售后团队分级分层管理，再得0-3分；③无方案不得分；本项满分5分。</w:t>
            </w:r>
          </w:p>
        </w:tc>
        <w:tc>
          <w:tcPr>
            <w:tcW w:w="7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1" w:hRule="atLeast"/>
        </w:trPr>
        <w:tc>
          <w:tcPr>
            <w:tcW w:w="130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综合项</w:t>
            </w:r>
          </w:p>
        </w:tc>
        <w:tc>
          <w:tcPr>
            <w:tcW w:w="63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16、承诺维保期间原厂工程师2小时到现场服务得3分，备件2小时到现场得3分，本项满分6分。需提供投标人承诺函并加盖原厂公章，无承诺函不得分。</w:t>
            </w:r>
          </w:p>
        </w:tc>
        <w:tc>
          <w:tcPr>
            <w:tcW w:w="7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1" w:hRule="atLeast"/>
        </w:trPr>
        <w:tc>
          <w:tcPr>
            <w:tcW w:w="130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63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17、维保期间设备巡检：能够提供一年五次及以上的设备原厂巡检及报告，得2分，满分2分。需提供原厂承诺函并加盖原厂公章，无承诺函不得分。</w:t>
            </w:r>
          </w:p>
        </w:tc>
        <w:tc>
          <w:tcPr>
            <w:tcW w:w="7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bl>
    <w:p>
      <w:pPr>
        <w:rPr>
          <w:rFonts w:ascii="宋体" w:hAnsi="宋体" w:eastAsia="宋体"/>
          <w:b/>
          <w:szCs w:val="21"/>
          <w:highlight w:val="none"/>
          <w:u w:val="single"/>
        </w:rPr>
      </w:pPr>
    </w:p>
    <w:p>
      <w:pPr>
        <w:spacing w:line="360" w:lineRule="auto"/>
        <w:rPr>
          <w:rFonts w:ascii="宋体" w:hAnsi="宋体" w:eastAsia="宋体"/>
          <w:b/>
          <w:szCs w:val="21"/>
          <w:highlight w:val="none"/>
          <w:u w:val="single"/>
        </w:rPr>
      </w:pPr>
      <w:r>
        <w:rPr>
          <w:rFonts w:hint="eastAsia" w:ascii="宋体" w:hAnsi="宋体" w:eastAsia="宋体"/>
          <w:b/>
          <w:szCs w:val="21"/>
          <w:highlight w:val="none"/>
          <w:u w:val="single"/>
        </w:rPr>
        <w:t>注：评分</w:t>
      </w:r>
      <w:r>
        <w:rPr>
          <w:rFonts w:ascii="宋体" w:hAnsi="宋体" w:eastAsia="宋体"/>
          <w:b/>
          <w:szCs w:val="21"/>
          <w:highlight w:val="none"/>
          <w:u w:val="single"/>
        </w:rPr>
        <w:t>标准</w:t>
      </w:r>
      <w:r>
        <w:rPr>
          <w:rFonts w:hint="eastAsia" w:ascii="宋体" w:hAnsi="宋体" w:eastAsia="宋体"/>
          <w:b/>
          <w:szCs w:val="21"/>
          <w:highlight w:val="none"/>
          <w:u w:val="single"/>
        </w:rPr>
        <w:t>中</w:t>
      </w:r>
      <w:r>
        <w:rPr>
          <w:rFonts w:ascii="宋体" w:hAnsi="宋体" w:eastAsia="宋体"/>
          <w:b/>
          <w:szCs w:val="21"/>
          <w:highlight w:val="none"/>
          <w:u w:val="single"/>
        </w:rPr>
        <w:t>涉及资质证书</w:t>
      </w:r>
      <w:r>
        <w:rPr>
          <w:rFonts w:hint="eastAsia" w:ascii="宋体" w:hAnsi="宋体" w:eastAsia="宋体"/>
          <w:b/>
          <w:szCs w:val="21"/>
          <w:highlight w:val="none"/>
          <w:u w:val="single"/>
        </w:rPr>
        <w:t>、</w:t>
      </w:r>
      <w:r>
        <w:rPr>
          <w:rFonts w:ascii="宋体" w:hAnsi="宋体" w:eastAsia="宋体"/>
          <w:b/>
          <w:szCs w:val="21"/>
          <w:highlight w:val="none"/>
          <w:u w:val="single"/>
        </w:rPr>
        <w:t>认证证书的，均需提交有效期内证书复印件，</w:t>
      </w:r>
      <w:r>
        <w:rPr>
          <w:rFonts w:hint="eastAsia" w:ascii="宋体" w:hAnsi="宋体" w:eastAsia="宋体"/>
          <w:b/>
          <w:szCs w:val="21"/>
          <w:highlight w:val="none"/>
          <w:u w:val="single"/>
        </w:rPr>
        <w:t>未提供</w:t>
      </w:r>
      <w:r>
        <w:rPr>
          <w:rFonts w:ascii="宋体" w:hAnsi="宋体" w:eastAsia="宋体"/>
          <w:b/>
          <w:szCs w:val="21"/>
          <w:highlight w:val="none"/>
          <w:u w:val="single"/>
        </w:rPr>
        <w:t>或</w:t>
      </w:r>
      <w:r>
        <w:rPr>
          <w:rFonts w:hint="eastAsia" w:ascii="宋体" w:hAnsi="宋体" w:eastAsia="宋体"/>
          <w:b/>
          <w:szCs w:val="21"/>
          <w:highlight w:val="none"/>
          <w:u w:val="single"/>
        </w:rPr>
        <w:t>提供</w:t>
      </w:r>
      <w:r>
        <w:rPr>
          <w:rFonts w:ascii="宋体" w:hAnsi="宋体" w:eastAsia="宋体"/>
          <w:b/>
          <w:szCs w:val="21"/>
          <w:highlight w:val="none"/>
          <w:u w:val="single"/>
        </w:rPr>
        <w:t>其他材料</w:t>
      </w:r>
      <w:r>
        <w:rPr>
          <w:rFonts w:hint="eastAsia" w:ascii="宋体" w:hAnsi="宋体" w:eastAsia="宋体"/>
          <w:b/>
          <w:szCs w:val="21"/>
          <w:highlight w:val="none"/>
          <w:u w:val="single"/>
        </w:rPr>
        <w:t>的</w:t>
      </w:r>
      <w:r>
        <w:rPr>
          <w:rFonts w:ascii="宋体" w:hAnsi="宋体" w:eastAsia="宋体"/>
          <w:b/>
          <w:szCs w:val="21"/>
          <w:highlight w:val="none"/>
          <w:u w:val="single"/>
        </w:rPr>
        <w:t>一概不得分。</w:t>
      </w:r>
    </w:p>
    <w:p>
      <w:pPr>
        <w:widowControl/>
        <w:jc w:val="left"/>
        <w:rPr>
          <w:rFonts w:ascii="宋体" w:hAnsi="宋体" w:eastAsia="宋体" w:cstheme="majorBidi"/>
          <w:kern w:val="28"/>
          <w:sz w:val="24"/>
          <w:szCs w:val="24"/>
          <w:highlight w:val="none"/>
        </w:rPr>
      </w:pPr>
      <w:r>
        <w:rPr>
          <w:rFonts w:ascii="宋体" w:hAnsi="宋体"/>
          <w:b/>
          <w:bCs/>
          <w:sz w:val="24"/>
          <w:szCs w:val="24"/>
          <w:highlight w:val="none"/>
        </w:rPr>
        <w:br w:type="page"/>
      </w:r>
    </w:p>
    <w:p>
      <w:pPr>
        <w:pStyle w:val="10"/>
        <w:jc w:val="both"/>
        <w:rPr>
          <w:rFonts w:ascii="宋体" w:hAnsi="宋体"/>
          <w:b w:val="0"/>
          <w:bCs w:val="0"/>
          <w:sz w:val="24"/>
          <w:szCs w:val="24"/>
          <w:highlight w:val="none"/>
        </w:rPr>
      </w:pPr>
      <w:r>
        <w:rPr>
          <w:rFonts w:hint="eastAsia" w:ascii="宋体" w:hAnsi="宋体"/>
          <w:b w:val="0"/>
          <w:bCs w:val="0"/>
          <w:sz w:val="24"/>
          <w:szCs w:val="24"/>
          <w:highlight w:val="none"/>
        </w:rPr>
        <w:t>附件4</w:t>
      </w:r>
    </w:p>
    <w:p>
      <w:pPr>
        <w:spacing w:line="360" w:lineRule="auto"/>
        <w:rPr>
          <w:rFonts w:ascii="宋体" w:hAnsi="宋体"/>
          <w:b/>
          <w:szCs w:val="21"/>
          <w:highlight w:val="none"/>
          <w:u w:val="single"/>
        </w:rPr>
      </w:pPr>
    </w:p>
    <w:p>
      <w:pPr>
        <w:spacing w:line="460" w:lineRule="exact"/>
        <w:rPr>
          <w:rFonts w:ascii="宋体" w:hAnsi="宋体" w:cs="宋体"/>
          <w:b/>
          <w:bCs/>
          <w:highlight w:val="none"/>
        </w:rPr>
      </w:pPr>
      <w:r>
        <w:rPr>
          <w:rFonts w:hint="eastAsia" w:ascii="宋体" w:hAnsi="宋体" w:cs="宋体"/>
          <w:b/>
          <w:bCs/>
          <w:highlight w:val="none"/>
        </w:rPr>
        <w:t>甲方（买方）：上海黄金交易所</w:t>
      </w:r>
    </w:p>
    <w:p>
      <w:pPr>
        <w:spacing w:line="460" w:lineRule="exact"/>
        <w:rPr>
          <w:rFonts w:ascii="宋体" w:hAnsi="宋体" w:cs="宋体"/>
          <w:highlight w:val="none"/>
        </w:rPr>
      </w:pPr>
      <w:r>
        <w:rPr>
          <w:rFonts w:hint="eastAsia" w:ascii="宋体" w:hAnsi="宋体" w:cs="宋体"/>
          <w:highlight w:val="none"/>
        </w:rPr>
        <w:t>地址：上海中山南路699号</w:t>
      </w:r>
    </w:p>
    <w:p>
      <w:pPr>
        <w:tabs>
          <w:tab w:val="left" w:pos="4140"/>
        </w:tabs>
        <w:spacing w:line="460" w:lineRule="exact"/>
        <w:rPr>
          <w:rFonts w:hint="eastAsia" w:ascii="宋体" w:hAnsi="宋体" w:cs="宋体"/>
          <w:highlight w:val="none"/>
        </w:rPr>
      </w:pPr>
      <w:r>
        <w:rPr>
          <w:rFonts w:hint="eastAsia" w:ascii="宋体" w:hAnsi="宋体" w:cs="宋体"/>
          <w:highlight w:val="none"/>
        </w:rPr>
        <w:t>电话：</w:t>
      </w:r>
      <w:r>
        <w:rPr>
          <w:rFonts w:ascii="宋体" w:hAnsi="宋体" w:cs="宋体"/>
          <w:highlight w:val="none"/>
        </w:rPr>
        <w:t>8621-</w:t>
      </w:r>
      <w:r>
        <w:rPr>
          <w:rFonts w:hint="eastAsia" w:ascii="宋体" w:hAnsi="宋体" w:cs="宋体"/>
          <w:highlight w:val="none"/>
        </w:rPr>
        <w:t>33189588</w:t>
      </w:r>
    </w:p>
    <w:p>
      <w:pPr>
        <w:tabs>
          <w:tab w:val="left" w:pos="4140"/>
        </w:tabs>
        <w:spacing w:line="460" w:lineRule="exact"/>
        <w:rPr>
          <w:rFonts w:ascii="宋体" w:hAnsi="宋体" w:cs="宋体"/>
          <w:highlight w:val="none"/>
        </w:rPr>
      </w:pPr>
      <w:r>
        <w:rPr>
          <w:rFonts w:hint="eastAsia" w:ascii="宋体" w:hAnsi="宋体" w:cs="宋体"/>
          <w:highlight w:val="none"/>
        </w:rPr>
        <w:t>传真：</w:t>
      </w:r>
      <w:r>
        <w:rPr>
          <w:rFonts w:ascii="宋体" w:hAnsi="宋体" w:cs="宋体"/>
          <w:highlight w:val="none"/>
        </w:rPr>
        <w:t>8621-33662058</w:t>
      </w:r>
    </w:p>
    <w:p>
      <w:pPr>
        <w:rPr>
          <w:rFonts w:ascii="宋体" w:hAnsi="宋体" w:cs="宋体"/>
          <w:b/>
          <w:bCs/>
          <w:color w:val="000000"/>
          <w:highlight w:val="none"/>
        </w:rPr>
      </w:pPr>
      <w:r>
        <w:rPr>
          <w:rFonts w:ascii="宋体" w:hAnsi="宋体" w:cs="宋体"/>
          <w:b/>
          <w:bCs/>
          <w:color w:val="000000"/>
          <w:highlight w:val="none"/>
        </w:rPr>
        <w:t xml:space="preserve">               </w:t>
      </w:r>
    </w:p>
    <w:p>
      <w:pPr>
        <w:spacing w:line="460" w:lineRule="exact"/>
        <w:rPr>
          <w:rFonts w:ascii="宋体" w:hAnsi="宋体" w:cs="宋体"/>
          <w:b/>
          <w:bCs/>
          <w:highlight w:val="none"/>
        </w:rPr>
      </w:pPr>
      <w:r>
        <w:rPr>
          <w:rFonts w:hint="eastAsia" w:ascii="宋体" w:hAnsi="宋体" w:cs="宋体"/>
          <w:b/>
          <w:bCs/>
          <w:highlight w:val="none"/>
        </w:rPr>
        <w:t>乙方（卖方）：</w:t>
      </w:r>
    </w:p>
    <w:p>
      <w:pPr>
        <w:spacing w:line="460" w:lineRule="exact"/>
        <w:rPr>
          <w:rFonts w:ascii="宋体" w:hAnsi="宋体" w:cs="宋体"/>
          <w:highlight w:val="none"/>
        </w:rPr>
      </w:pPr>
      <w:r>
        <w:rPr>
          <w:rFonts w:hint="eastAsia" w:ascii="宋体" w:hAnsi="宋体" w:cs="宋体"/>
          <w:highlight w:val="none"/>
        </w:rPr>
        <w:t>地址：</w:t>
      </w:r>
      <w:r>
        <w:rPr>
          <w:rFonts w:ascii="宋体" w:hAnsi="宋体" w:cs="宋体"/>
          <w:highlight w:val="none"/>
        </w:rPr>
        <w:t xml:space="preserve"> </w:t>
      </w:r>
    </w:p>
    <w:p>
      <w:pPr>
        <w:spacing w:line="460" w:lineRule="exact"/>
        <w:rPr>
          <w:rFonts w:ascii="宋体" w:hAnsi="宋体" w:cs="宋体"/>
          <w:highlight w:val="none"/>
        </w:rPr>
      </w:pPr>
      <w:r>
        <w:rPr>
          <w:rFonts w:hint="eastAsia" w:ascii="宋体" w:hAnsi="宋体" w:cs="宋体"/>
          <w:highlight w:val="none"/>
        </w:rPr>
        <w:t>电话：</w:t>
      </w:r>
    </w:p>
    <w:p>
      <w:pPr>
        <w:spacing w:line="460" w:lineRule="exact"/>
        <w:rPr>
          <w:rFonts w:ascii="宋体" w:hAnsi="宋体" w:cs="宋体"/>
          <w:highlight w:val="none"/>
        </w:rPr>
      </w:pPr>
      <w:r>
        <w:rPr>
          <w:rFonts w:hint="eastAsia" w:ascii="宋体" w:hAnsi="宋体" w:cs="宋体"/>
          <w:highlight w:val="none"/>
        </w:rPr>
        <w:t>传真：</w:t>
      </w:r>
    </w:p>
    <w:p>
      <w:pPr>
        <w:spacing w:line="460" w:lineRule="exact"/>
        <w:rPr>
          <w:rFonts w:ascii="宋体" w:hAnsi="宋体" w:cs="宋体"/>
          <w:b/>
          <w:bCs/>
          <w:highlight w:val="none"/>
        </w:rPr>
      </w:pPr>
    </w:p>
    <w:p>
      <w:pPr>
        <w:numPr>
          <w:ilvl w:val="0"/>
          <w:numId w:val="6"/>
        </w:numPr>
        <w:tabs>
          <w:tab w:val="left" w:pos="540"/>
        </w:tabs>
        <w:spacing w:line="460" w:lineRule="exact"/>
        <w:ind w:left="0" w:firstLine="0"/>
        <w:rPr>
          <w:rFonts w:ascii="宋体" w:hAnsi="宋体" w:cs="宋体"/>
          <w:b/>
          <w:bCs/>
          <w:highlight w:val="none"/>
        </w:rPr>
      </w:pPr>
      <w:r>
        <w:rPr>
          <w:rFonts w:hint="eastAsia" w:ascii="宋体" w:hAnsi="宋体" w:cs="宋体"/>
          <w:b/>
          <w:bCs/>
          <w:highlight w:val="none"/>
        </w:rPr>
        <w:t>为保护本合同各方的合法权益，根据《中华人民共和国民法典》等国家法律法规及规范性文件的规定，并严格遵循招标文件的相关要求，甲方和乙方订立本合同，以兹信守。</w:t>
      </w:r>
    </w:p>
    <w:p>
      <w:pPr>
        <w:numPr>
          <w:ilvl w:val="0"/>
          <w:numId w:val="7"/>
        </w:numPr>
        <w:tabs>
          <w:tab w:val="left" w:pos="540"/>
        </w:tabs>
        <w:spacing w:before="100" w:beforeAutospacing="1" w:after="100" w:afterAutospacing="1" w:line="460" w:lineRule="exact"/>
        <w:rPr>
          <w:rFonts w:ascii="宋体" w:hAnsi="宋体" w:cs="宋体"/>
          <w:b/>
          <w:bCs/>
          <w:highlight w:val="none"/>
        </w:rPr>
      </w:pPr>
      <w:r>
        <w:rPr>
          <w:rFonts w:hint="eastAsia" w:ascii="宋体" w:hAnsi="宋体" w:cs="宋体"/>
          <w:b/>
          <w:bCs/>
          <w:highlight w:val="none"/>
        </w:rPr>
        <w:t>合同总金额与货物明细</w:t>
      </w:r>
    </w:p>
    <w:p>
      <w:pPr>
        <w:numPr>
          <w:ilvl w:val="1"/>
          <w:numId w:val="8"/>
        </w:numPr>
        <w:tabs>
          <w:tab w:val="left" w:pos="540"/>
        </w:tabs>
        <w:spacing w:line="460" w:lineRule="exact"/>
        <w:rPr>
          <w:rFonts w:ascii="宋体" w:hAnsi="宋体" w:cs="宋体"/>
          <w:highlight w:val="none"/>
        </w:rPr>
      </w:pPr>
      <w:r>
        <w:rPr>
          <w:rFonts w:hint="eastAsia" w:ascii="宋体" w:hAnsi="宋体" w:cs="宋体"/>
          <w:highlight w:val="none"/>
        </w:rPr>
        <w:t>合同总金额（含税</w:t>
      </w:r>
      <w:r>
        <w:rPr>
          <w:rFonts w:ascii="宋体" w:hAnsi="宋体" w:cs="宋体"/>
          <w:highlight w:val="none"/>
        </w:rPr>
        <w:t>）</w:t>
      </w:r>
      <w:r>
        <w:rPr>
          <w:rFonts w:hint="eastAsia" w:ascii="宋体" w:hAnsi="宋体" w:cs="宋体"/>
          <w:highlight w:val="none"/>
        </w:rPr>
        <w:t>：</w:t>
      </w:r>
      <w:r>
        <w:rPr>
          <w:rFonts w:hint="eastAsia" w:ascii="宋体" w:hAnsi="宋体" w:cs="宋体"/>
          <w:b/>
          <w:bCs/>
          <w:highlight w:val="none"/>
          <w:u w:val="single"/>
        </w:rPr>
        <w:t>¥</w:t>
      </w:r>
      <w:r>
        <w:rPr>
          <w:rFonts w:ascii="宋体" w:hAnsi="宋体" w:cs="宋体"/>
          <w:b/>
          <w:bCs/>
          <w:highlight w:val="none"/>
          <w:u w:val="single"/>
        </w:rPr>
        <w:t xml:space="preserve"> </w:t>
      </w:r>
      <w:r>
        <w:rPr>
          <w:rFonts w:hint="eastAsia" w:ascii="宋体" w:hAnsi="宋体" w:cs="宋体"/>
          <w:b/>
          <w:bCs/>
          <w:highlight w:val="none"/>
          <w:u w:val="single"/>
        </w:rPr>
        <w:t xml:space="preserve">   元（大写：人民币   ）</w:t>
      </w:r>
      <w:r>
        <w:rPr>
          <w:rFonts w:ascii="宋体" w:hAnsi="宋体" w:cs="宋体"/>
          <w:highlight w:val="none"/>
          <w:u w:val="single"/>
        </w:rPr>
        <w:t xml:space="preserve"> </w:t>
      </w:r>
    </w:p>
    <w:p>
      <w:pPr>
        <w:numPr>
          <w:ilvl w:val="1"/>
          <w:numId w:val="8"/>
        </w:numPr>
        <w:tabs>
          <w:tab w:val="left" w:pos="540"/>
        </w:tabs>
        <w:spacing w:line="460" w:lineRule="exact"/>
        <w:rPr>
          <w:rFonts w:ascii="宋体" w:hAnsi="宋体" w:cs="宋体"/>
          <w:highlight w:val="none"/>
        </w:rPr>
      </w:pPr>
      <w:r>
        <w:rPr>
          <w:rFonts w:hint="eastAsia" w:ascii="宋体" w:hAnsi="宋体" w:cs="宋体"/>
          <w:highlight w:val="none"/>
        </w:rPr>
        <w:t>上述合同</w:t>
      </w:r>
      <w:r>
        <w:rPr>
          <w:rFonts w:ascii="宋体" w:hAnsi="宋体" w:cs="宋体"/>
          <w:highlight w:val="none"/>
        </w:rPr>
        <w:t>总金额包括了为实施本项目</w:t>
      </w:r>
      <w:r>
        <w:rPr>
          <w:rFonts w:hint="eastAsia" w:ascii="宋体" w:hAnsi="宋体" w:cs="宋体"/>
          <w:highlight w:val="none"/>
        </w:rPr>
        <w:t>所需</w:t>
      </w:r>
      <w:r>
        <w:rPr>
          <w:rFonts w:ascii="宋体" w:hAnsi="宋体" w:cs="宋体"/>
          <w:highlight w:val="none"/>
        </w:rPr>
        <w:t>的所有硬件和服务</w:t>
      </w:r>
      <w:r>
        <w:rPr>
          <w:rFonts w:hint="eastAsia" w:ascii="宋体" w:hAnsi="宋体" w:cs="宋体"/>
          <w:highlight w:val="none"/>
        </w:rPr>
        <w:t>（如有</w:t>
      </w:r>
      <w:r>
        <w:rPr>
          <w:rFonts w:ascii="宋体" w:hAnsi="宋体" w:cs="宋体"/>
          <w:highlight w:val="none"/>
        </w:rPr>
        <w:t>）费用</w:t>
      </w:r>
      <w:r>
        <w:rPr>
          <w:rFonts w:hint="eastAsia" w:ascii="宋体" w:hAnsi="宋体" w:cs="宋体"/>
          <w:highlight w:val="none"/>
        </w:rPr>
        <w:t>，</w:t>
      </w:r>
      <w:r>
        <w:rPr>
          <w:rFonts w:ascii="宋体" w:hAnsi="宋体" w:cs="宋体"/>
          <w:highlight w:val="none"/>
        </w:rPr>
        <w:t>不得额外追加费用。</w:t>
      </w:r>
    </w:p>
    <w:p>
      <w:pPr>
        <w:numPr>
          <w:ilvl w:val="1"/>
          <w:numId w:val="8"/>
        </w:numPr>
        <w:tabs>
          <w:tab w:val="left" w:pos="540"/>
        </w:tabs>
        <w:spacing w:line="460" w:lineRule="exact"/>
        <w:rPr>
          <w:rFonts w:ascii="宋体" w:hAnsi="宋体" w:cs="宋体"/>
          <w:highlight w:val="none"/>
        </w:rPr>
      </w:pPr>
      <w:r>
        <w:rPr>
          <w:rFonts w:hint="eastAsia" w:ascii="宋体" w:hAnsi="宋体" w:cs="宋体"/>
          <w:highlight w:val="none"/>
        </w:rPr>
        <w:t>货物</w:t>
      </w:r>
      <w:r>
        <w:rPr>
          <w:rFonts w:hint="eastAsia" w:ascii="宋体" w:hAnsi="宋体" w:eastAsia="宋体" w:cs="宋体"/>
          <w:highlight w:val="none"/>
        </w:rPr>
        <w:t>明细（见附件一，乙方承诺所提供的货物和服务能够满足甲方招标要求和乙方投标书承诺的全部内容，如有不符构成违约、按照本合同的违约条款处理）</w:t>
      </w:r>
    </w:p>
    <w:p>
      <w:pPr>
        <w:numPr>
          <w:ilvl w:val="1"/>
          <w:numId w:val="8"/>
        </w:numPr>
        <w:tabs>
          <w:tab w:val="left" w:pos="540"/>
        </w:tabs>
        <w:spacing w:line="460" w:lineRule="exact"/>
        <w:rPr>
          <w:rFonts w:ascii="宋体" w:hAnsi="宋体" w:cs="宋体"/>
          <w:highlight w:val="none"/>
        </w:rPr>
      </w:pPr>
      <w:r>
        <w:rPr>
          <w:rFonts w:hint="eastAsia" w:ascii="宋体" w:hAnsi="宋体" w:cs="宋体"/>
          <w:highlight w:val="none"/>
        </w:rPr>
        <w:t>货物到货验收（见附件二）</w:t>
      </w:r>
    </w:p>
    <w:p>
      <w:pPr>
        <w:numPr>
          <w:ilvl w:val="1"/>
          <w:numId w:val="8"/>
        </w:numPr>
        <w:tabs>
          <w:tab w:val="left" w:pos="540"/>
        </w:tabs>
        <w:spacing w:line="460" w:lineRule="exact"/>
        <w:rPr>
          <w:rFonts w:hint="eastAsia" w:ascii="宋体" w:hAnsi="宋体" w:cs="宋体"/>
          <w:highlight w:val="none"/>
        </w:rPr>
      </w:pPr>
      <w:r>
        <w:rPr>
          <w:rFonts w:hint="eastAsia" w:ascii="宋体" w:hAnsi="宋体" w:cs="宋体"/>
          <w:highlight w:val="none"/>
        </w:rPr>
        <w:t>货物安装验收（见附件三）</w:t>
      </w:r>
    </w:p>
    <w:p>
      <w:pPr>
        <w:numPr>
          <w:ilvl w:val="1"/>
          <w:numId w:val="8"/>
        </w:numPr>
        <w:tabs>
          <w:tab w:val="left" w:pos="540"/>
        </w:tabs>
        <w:spacing w:line="460" w:lineRule="exact"/>
        <w:rPr>
          <w:rFonts w:hint="eastAsia" w:ascii="宋体" w:hAnsi="宋体" w:cs="宋体"/>
          <w:highlight w:val="none"/>
        </w:rPr>
      </w:pPr>
      <w:r>
        <w:rPr>
          <w:rFonts w:hint="eastAsia" w:ascii="宋体" w:hAnsi="宋体" w:cs="宋体"/>
          <w:highlight w:val="none"/>
        </w:rPr>
        <w:t>其他要求（见附件四）</w:t>
      </w:r>
    </w:p>
    <w:p>
      <w:pPr>
        <w:tabs>
          <w:tab w:val="left" w:pos="3510"/>
        </w:tabs>
        <w:spacing w:before="100" w:beforeAutospacing="1" w:after="100" w:afterAutospacing="1" w:line="460" w:lineRule="exact"/>
        <w:ind w:left="720" w:hanging="720"/>
        <w:outlineLvl w:val="0"/>
        <w:rPr>
          <w:rFonts w:ascii="宋体" w:hAnsi="宋体" w:cs="宋体"/>
          <w:b/>
          <w:bCs/>
          <w:highlight w:val="none"/>
        </w:rPr>
      </w:pPr>
      <w:r>
        <w:rPr>
          <w:rFonts w:hint="eastAsia" w:ascii="宋体" w:hAnsi="宋体" w:cs="宋体"/>
          <w:b/>
          <w:bCs/>
          <w:highlight w:val="none"/>
        </w:rPr>
        <w:t>三、付款方式</w:t>
      </w:r>
    </w:p>
    <w:p>
      <w:pPr>
        <w:tabs>
          <w:tab w:val="left" w:pos="540"/>
        </w:tabs>
        <w:spacing w:line="460" w:lineRule="exact"/>
        <w:ind w:firstLine="420" w:firstLineChars="200"/>
        <w:rPr>
          <w:rFonts w:ascii="宋体" w:hAnsi="宋体" w:cs="宋体"/>
          <w:highlight w:val="none"/>
        </w:rPr>
      </w:pPr>
      <w:r>
        <w:rPr>
          <w:rFonts w:ascii="宋体" w:hAnsi="宋体" w:cs="宋体"/>
          <w:highlight w:val="none"/>
        </w:rPr>
        <w:t>1</w:t>
      </w:r>
      <w:r>
        <w:rPr>
          <w:rFonts w:hint="eastAsia" w:ascii="宋体" w:hAnsi="宋体" w:cs="宋体"/>
          <w:highlight w:val="none"/>
        </w:rPr>
        <w:t>、甲方按照以下付款方式在收到乙方每一笔款项的合法增值税专用发票后</w:t>
      </w:r>
      <w:r>
        <w:rPr>
          <w:rFonts w:ascii="宋体" w:hAnsi="宋体" w:cs="宋体"/>
          <w:highlight w:val="none"/>
        </w:rPr>
        <w:t>30</w:t>
      </w:r>
      <w:r>
        <w:rPr>
          <w:rFonts w:hint="eastAsia" w:ascii="宋体" w:hAnsi="宋体" w:cs="宋体"/>
          <w:highlight w:val="none"/>
        </w:rPr>
        <w:t>个</w:t>
      </w:r>
      <w:r>
        <w:rPr>
          <w:rFonts w:ascii="宋体" w:hAnsi="宋体" w:cs="宋体"/>
          <w:highlight w:val="none"/>
        </w:rPr>
        <w:t>工作</w:t>
      </w:r>
      <w:r>
        <w:rPr>
          <w:rFonts w:hint="eastAsia" w:ascii="宋体" w:hAnsi="宋体" w:cs="宋体"/>
          <w:highlight w:val="none"/>
        </w:rPr>
        <w:t>日</w:t>
      </w:r>
      <w:r>
        <w:rPr>
          <w:rFonts w:ascii="宋体" w:hAnsi="宋体" w:cs="宋体"/>
          <w:highlight w:val="none"/>
        </w:rPr>
        <w:t>内</w:t>
      </w:r>
      <w:r>
        <w:rPr>
          <w:rFonts w:hint="eastAsia" w:ascii="宋体" w:hAnsi="宋体" w:cs="宋体"/>
          <w:highlight w:val="none"/>
        </w:rPr>
        <w:t>向乙方转账支付相应金额款项。</w:t>
      </w:r>
    </w:p>
    <w:p>
      <w:pPr>
        <w:tabs>
          <w:tab w:val="left" w:pos="540"/>
        </w:tabs>
        <w:spacing w:line="460" w:lineRule="exact"/>
        <w:ind w:left="420" w:leftChars="200"/>
        <w:rPr>
          <w:rFonts w:ascii="宋体" w:hAnsi="宋体" w:cs="宋体"/>
          <w:highlight w:val="none"/>
        </w:rPr>
      </w:pPr>
      <w:r>
        <w:rPr>
          <w:rFonts w:ascii="宋体" w:hAnsi="宋体" w:cs="宋体"/>
          <w:highlight w:val="none"/>
        </w:rPr>
        <w:t>2</w:t>
      </w:r>
      <w:r>
        <w:rPr>
          <w:rFonts w:hint="eastAsia" w:ascii="宋体" w:hAnsi="宋体" w:cs="宋体"/>
          <w:highlight w:val="none"/>
        </w:rPr>
        <w:t>、付款方式：</w:t>
      </w:r>
    </w:p>
    <w:p>
      <w:pPr>
        <w:tabs>
          <w:tab w:val="left" w:pos="540"/>
        </w:tabs>
        <w:spacing w:line="460" w:lineRule="exact"/>
        <w:ind w:firstLine="420" w:firstLineChars="200"/>
        <w:rPr>
          <w:rFonts w:ascii="宋体" w:hAnsi="宋体" w:cs="宋体"/>
          <w:highlight w:val="none"/>
        </w:rPr>
      </w:pPr>
      <w:r>
        <w:rPr>
          <w:rFonts w:ascii="宋体" w:hAnsi="宋体" w:cs="宋体"/>
          <w:highlight w:val="none"/>
        </w:rPr>
        <w:t>A</w:t>
      </w:r>
      <w:r>
        <w:rPr>
          <w:rFonts w:hint="eastAsia" w:ascii="宋体" w:hAnsi="宋体" w:cs="宋体"/>
          <w:highlight w:val="none"/>
        </w:rPr>
        <w:t>、甲方于合同签订后向乙方支付</w:t>
      </w:r>
      <w:r>
        <w:rPr>
          <w:rFonts w:hint="eastAsia" w:ascii="宋体" w:hAnsi="宋体" w:cs="宋体"/>
          <w:b/>
          <w:highlight w:val="none"/>
        </w:rPr>
        <w:t>人民币</w:t>
      </w:r>
      <w:r>
        <w:rPr>
          <w:rFonts w:hint="eastAsia" w:ascii="宋体" w:hAnsi="宋体" w:cs="宋体"/>
          <w:b/>
          <w:highlight w:val="none"/>
          <w:u w:val="single"/>
        </w:rPr>
        <w:t xml:space="preserve"> </w:t>
      </w:r>
      <w:r>
        <w:rPr>
          <w:rFonts w:ascii="宋体" w:hAnsi="宋体" w:cs="宋体"/>
          <w:b/>
          <w:highlight w:val="none"/>
          <w:u w:val="single"/>
        </w:rPr>
        <w:t xml:space="preserve">     </w:t>
      </w:r>
      <w:r>
        <w:rPr>
          <w:rFonts w:hint="eastAsia" w:ascii="宋体" w:hAnsi="宋体" w:cs="宋体"/>
          <w:b/>
          <w:highlight w:val="none"/>
          <w:u w:val="single"/>
        </w:rPr>
        <w:t>元</w:t>
      </w:r>
      <w:r>
        <w:rPr>
          <w:rFonts w:hint="eastAsia" w:ascii="宋体" w:hAnsi="宋体" w:cs="宋体"/>
          <w:highlight w:val="none"/>
        </w:rPr>
        <w:t>；</w:t>
      </w:r>
    </w:p>
    <w:p>
      <w:pPr>
        <w:tabs>
          <w:tab w:val="left" w:pos="540"/>
        </w:tabs>
        <w:spacing w:line="460" w:lineRule="exact"/>
        <w:ind w:firstLine="420" w:firstLineChars="200"/>
        <w:rPr>
          <w:rFonts w:ascii="宋体" w:hAnsi="宋体" w:cs="宋体"/>
          <w:highlight w:val="none"/>
        </w:rPr>
      </w:pPr>
      <w:r>
        <w:rPr>
          <w:rFonts w:ascii="宋体" w:hAnsi="宋体" w:cs="宋体"/>
          <w:highlight w:val="none"/>
        </w:rPr>
        <w:t>B</w:t>
      </w:r>
      <w:r>
        <w:rPr>
          <w:rFonts w:hint="eastAsia" w:ascii="宋体" w:hAnsi="宋体" w:cs="宋体"/>
          <w:highlight w:val="none"/>
        </w:rPr>
        <w:t>、设备到货，安装清点并加电无故障，甲方向乙方支付</w:t>
      </w:r>
      <w:r>
        <w:rPr>
          <w:rFonts w:hint="eastAsia" w:ascii="宋体" w:hAnsi="宋体" w:cs="宋体"/>
          <w:b/>
          <w:highlight w:val="none"/>
          <w:u w:val="single"/>
        </w:rPr>
        <w:t xml:space="preserve">人民币 </w:t>
      </w:r>
      <w:r>
        <w:rPr>
          <w:rFonts w:ascii="宋体" w:hAnsi="宋体" w:cs="宋体"/>
          <w:b/>
          <w:highlight w:val="none"/>
          <w:u w:val="single"/>
        </w:rPr>
        <w:t xml:space="preserve">   </w:t>
      </w:r>
      <w:r>
        <w:rPr>
          <w:rFonts w:hint="eastAsia" w:ascii="宋体" w:hAnsi="宋体" w:cs="宋体"/>
          <w:b/>
          <w:highlight w:val="none"/>
          <w:u w:val="single"/>
        </w:rPr>
        <w:t>元</w:t>
      </w:r>
      <w:r>
        <w:rPr>
          <w:rFonts w:hint="eastAsia" w:ascii="宋体" w:hAnsi="宋体" w:cs="宋体"/>
          <w:highlight w:val="none"/>
        </w:rPr>
        <w:t>；</w:t>
      </w:r>
    </w:p>
    <w:p>
      <w:pPr>
        <w:tabs>
          <w:tab w:val="left" w:pos="540"/>
        </w:tabs>
        <w:spacing w:line="460" w:lineRule="exact"/>
        <w:ind w:firstLine="420" w:firstLineChars="200"/>
        <w:rPr>
          <w:rFonts w:ascii="宋体" w:hAnsi="宋体" w:cs="宋体"/>
          <w:highlight w:val="none"/>
        </w:rPr>
      </w:pPr>
      <w:r>
        <w:rPr>
          <w:rFonts w:ascii="宋体" w:hAnsi="宋体" w:cs="宋体"/>
          <w:highlight w:val="none"/>
        </w:rPr>
        <w:t>C</w:t>
      </w:r>
      <w:r>
        <w:rPr>
          <w:rFonts w:hint="eastAsia" w:ascii="宋体" w:hAnsi="宋体" w:cs="宋体"/>
          <w:highlight w:val="none"/>
        </w:rPr>
        <w:t>、设备上线验收合格后，原厂服务生效（提供原厂服务生效证明）并验收无误后，甲方向乙方支付</w:t>
      </w:r>
      <w:r>
        <w:rPr>
          <w:rFonts w:hint="eastAsia" w:ascii="宋体" w:hAnsi="宋体" w:cs="宋体"/>
          <w:b/>
          <w:highlight w:val="none"/>
          <w:u w:val="single"/>
        </w:rPr>
        <w:t xml:space="preserve">人民币 </w:t>
      </w:r>
      <w:r>
        <w:rPr>
          <w:rFonts w:ascii="宋体" w:hAnsi="宋体" w:cs="宋体"/>
          <w:b/>
          <w:highlight w:val="none"/>
          <w:u w:val="single"/>
        </w:rPr>
        <w:t xml:space="preserve">   </w:t>
      </w:r>
      <w:r>
        <w:rPr>
          <w:rFonts w:hint="eastAsia" w:ascii="宋体" w:hAnsi="宋体" w:cs="宋体"/>
          <w:b/>
          <w:highlight w:val="none"/>
          <w:u w:val="single"/>
        </w:rPr>
        <w:t>元</w:t>
      </w:r>
      <w:r>
        <w:rPr>
          <w:rFonts w:hint="eastAsia" w:ascii="宋体" w:hAnsi="宋体" w:cs="宋体"/>
          <w:highlight w:val="none"/>
        </w:rPr>
        <w:t>；</w:t>
      </w:r>
    </w:p>
    <w:p>
      <w:pPr>
        <w:tabs>
          <w:tab w:val="left" w:pos="540"/>
        </w:tabs>
        <w:spacing w:line="460" w:lineRule="exact"/>
        <w:ind w:firstLine="420" w:firstLineChars="200"/>
        <w:rPr>
          <w:rFonts w:ascii="宋体" w:hAnsi="宋体" w:cs="宋体"/>
          <w:highlight w:val="none"/>
        </w:rPr>
      </w:pPr>
      <w:r>
        <w:rPr>
          <w:rFonts w:hint="eastAsia" w:ascii="宋体" w:hAnsi="宋体" w:cs="宋体"/>
          <w:highlight w:val="none"/>
        </w:rPr>
        <w:t>D、服务满一年，甲方向乙方支付</w:t>
      </w:r>
      <w:r>
        <w:rPr>
          <w:rFonts w:hint="eastAsia" w:ascii="宋体" w:hAnsi="宋体" w:cs="宋体"/>
          <w:b/>
          <w:highlight w:val="none"/>
          <w:u w:val="single"/>
        </w:rPr>
        <w:t xml:space="preserve">人民币 </w:t>
      </w:r>
      <w:r>
        <w:rPr>
          <w:rFonts w:ascii="宋体" w:hAnsi="宋体" w:cs="宋体"/>
          <w:b/>
          <w:highlight w:val="none"/>
          <w:u w:val="single"/>
        </w:rPr>
        <w:t xml:space="preserve">   </w:t>
      </w:r>
      <w:r>
        <w:rPr>
          <w:rFonts w:hint="eastAsia" w:ascii="宋体" w:hAnsi="宋体" w:cs="宋体"/>
          <w:b/>
          <w:highlight w:val="none"/>
          <w:u w:val="single"/>
        </w:rPr>
        <w:t>元</w:t>
      </w:r>
      <w:r>
        <w:rPr>
          <w:rFonts w:hint="eastAsia" w:ascii="宋体" w:hAnsi="宋体" w:cs="宋体"/>
          <w:highlight w:val="none"/>
        </w:rPr>
        <w:t>；</w:t>
      </w:r>
    </w:p>
    <w:p>
      <w:pPr>
        <w:tabs>
          <w:tab w:val="left" w:pos="540"/>
        </w:tabs>
        <w:spacing w:line="460" w:lineRule="exact"/>
        <w:ind w:firstLine="420" w:firstLineChars="200"/>
        <w:rPr>
          <w:rFonts w:ascii="宋体" w:hAnsi="宋体" w:cs="宋体"/>
          <w:highlight w:val="none"/>
          <w:u w:val="single"/>
        </w:rPr>
      </w:pPr>
      <w:r>
        <w:rPr>
          <w:rFonts w:ascii="宋体" w:hAnsi="宋体" w:cs="宋体"/>
          <w:highlight w:val="none"/>
        </w:rPr>
        <w:t>E</w:t>
      </w:r>
      <w:r>
        <w:rPr>
          <w:rFonts w:hint="eastAsia" w:ascii="宋体" w:hAnsi="宋体" w:cs="宋体"/>
          <w:highlight w:val="none"/>
        </w:rPr>
        <w:t>、方式</w:t>
      </w:r>
      <w:r>
        <w:rPr>
          <w:rFonts w:ascii="宋体" w:hAnsi="宋体" w:cs="宋体"/>
          <w:highlight w:val="none"/>
        </w:rPr>
        <w:t>1</w:t>
      </w:r>
      <w:r>
        <w:rPr>
          <w:rFonts w:hint="eastAsia" w:ascii="宋体" w:hAnsi="宋体" w:cs="宋体"/>
          <w:highlight w:val="none"/>
        </w:rPr>
        <w:t>：乙方开具为期2年，金额为合同总金额5%的银行保函后（保函受益人为上海黄金交易所，且不可撤销），甲方向乙方支付</w:t>
      </w:r>
      <w:r>
        <w:rPr>
          <w:rFonts w:hint="eastAsia" w:ascii="宋体" w:hAnsi="宋体" w:cs="宋体"/>
          <w:b/>
          <w:highlight w:val="none"/>
          <w:u w:val="single"/>
        </w:rPr>
        <w:t xml:space="preserve">人民币 </w:t>
      </w:r>
      <w:r>
        <w:rPr>
          <w:rFonts w:ascii="宋体" w:hAnsi="宋体" w:cs="宋体"/>
          <w:b/>
          <w:highlight w:val="none"/>
          <w:u w:val="single"/>
        </w:rPr>
        <w:t xml:space="preserve">   </w:t>
      </w:r>
      <w:r>
        <w:rPr>
          <w:rFonts w:hint="eastAsia" w:ascii="宋体" w:hAnsi="宋体" w:cs="宋体"/>
          <w:b/>
          <w:highlight w:val="none"/>
          <w:u w:val="single"/>
        </w:rPr>
        <w:t>元</w:t>
      </w:r>
      <w:r>
        <w:rPr>
          <w:rFonts w:hint="eastAsia" w:ascii="宋体" w:hAnsi="宋体" w:cs="宋体"/>
          <w:highlight w:val="none"/>
        </w:rPr>
        <w:t>；方式</w:t>
      </w:r>
      <w:r>
        <w:rPr>
          <w:rFonts w:ascii="宋体" w:hAnsi="宋体" w:cs="宋体"/>
          <w:highlight w:val="none"/>
        </w:rPr>
        <w:t>2</w:t>
      </w:r>
      <w:r>
        <w:rPr>
          <w:rFonts w:hint="eastAsia" w:ascii="宋体" w:hAnsi="宋体" w:cs="宋体"/>
          <w:highlight w:val="none"/>
        </w:rPr>
        <w:t>：三年维保到期后，甲方向乙方支付</w:t>
      </w:r>
      <w:r>
        <w:rPr>
          <w:rFonts w:hint="eastAsia" w:ascii="宋体" w:hAnsi="宋体" w:cs="宋体"/>
          <w:b/>
          <w:highlight w:val="none"/>
        </w:rPr>
        <w:t>人民币</w:t>
      </w:r>
      <w:r>
        <w:rPr>
          <w:rFonts w:hint="eastAsia" w:ascii="宋体" w:hAnsi="宋体" w:cs="宋体"/>
          <w:b/>
          <w:highlight w:val="none"/>
          <w:u w:val="single"/>
        </w:rPr>
        <w:t xml:space="preserve">    元</w:t>
      </w:r>
      <w:r>
        <w:rPr>
          <w:rFonts w:hint="eastAsia" w:ascii="宋体" w:hAnsi="宋体" w:cs="宋体"/>
          <w:highlight w:val="none"/>
        </w:rPr>
        <w:t>。</w:t>
      </w:r>
    </w:p>
    <w:p>
      <w:pPr>
        <w:tabs>
          <w:tab w:val="left" w:pos="540"/>
        </w:tabs>
        <w:spacing w:line="460" w:lineRule="exact"/>
        <w:ind w:firstLine="420" w:firstLineChars="200"/>
        <w:rPr>
          <w:rFonts w:hint="eastAsia" w:ascii="宋体" w:hAnsi="宋体" w:cs="宋体"/>
          <w:highlight w:val="none"/>
        </w:rPr>
      </w:pPr>
      <w:r>
        <w:rPr>
          <w:rFonts w:hint="eastAsia" w:ascii="宋体" w:hAnsi="宋体" w:cs="宋体"/>
          <w:highlight w:val="none"/>
        </w:rPr>
        <w:t>甲方账户信息：</w:t>
      </w:r>
    </w:p>
    <w:p>
      <w:pPr>
        <w:tabs>
          <w:tab w:val="left" w:pos="540"/>
        </w:tabs>
        <w:spacing w:line="460" w:lineRule="exact"/>
        <w:ind w:firstLine="420" w:firstLineChars="200"/>
        <w:rPr>
          <w:rFonts w:hint="eastAsia" w:ascii="宋体" w:hAnsi="宋体" w:cs="宋体"/>
          <w:highlight w:val="none"/>
        </w:rPr>
      </w:pPr>
      <w:r>
        <w:rPr>
          <w:rFonts w:hint="eastAsia" w:ascii="宋体" w:hAnsi="宋体" w:cs="宋体"/>
          <w:highlight w:val="none"/>
        </w:rPr>
        <w:t>单位名称：上海黄金交易所</w:t>
      </w:r>
    </w:p>
    <w:p>
      <w:pPr>
        <w:tabs>
          <w:tab w:val="left" w:pos="540"/>
        </w:tabs>
        <w:spacing w:line="460" w:lineRule="exact"/>
        <w:ind w:firstLine="420" w:firstLineChars="200"/>
        <w:rPr>
          <w:rFonts w:hint="eastAsia" w:ascii="宋体" w:hAnsi="宋体" w:cs="宋体"/>
          <w:highlight w:val="none"/>
        </w:rPr>
      </w:pPr>
      <w:r>
        <w:rPr>
          <w:rFonts w:hint="eastAsia" w:ascii="宋体" w:hAnsi="宋体" w:cs="宋体"/>
          <w:highlight w:val="none"/>
        </w:rPr>
        <w:t>开户银行：工行浦东分行</w:t>
      </w:r>
    </w:p>
    <w:p>
      <w:pPr>
        <w:tabs>
          <w:tab w:val="left" w:pos="540"/>
        </w:tabs>
        <w:spacing w:line="460" w:lineRule="exact"/>
        <w:ind w:firstLine="420" w:firstLineChars="200"/>
        <w:rPr>
          <w:rFonts w:hint="eastAsia" w:ascii="宋体" w:hAnsi="宋体" w:cs="宋体"/>
          <w:highlight w:val="none"/>
        </w:rPr>
      </w:pPr>
      <w:r>
        <w:rPr>
          <w:rFonts w:hint="eastAsia" w:ascii="宋体" w:hAnsi="宋体" w:cs="宋体"/>
          <w:highlight w:val="none"/>
        </w:rPr>
        <w:t>开户账号：1001280909000000163</w:t>
      </w:r>
    </w:p>
    <w:p>
      <w:pPr>
        <w:tabs>
          <w:tab w:val="left" w:pos="540"/>
        </w:tabs>
        <w:spacing w:line="460" w:lineRule="exact"/>
        <w:ind w:firstLine="420" w:firstLineChars="200"/>
        <w:rPr>
          <w:rFonts w:ascii="宋体" w:hAnsi="宋体" w:cs="宋体"/>
          <w:highlight w:val="none"/>
        </w:rPr>
      </w:pPr>
      <w:r>
        <w:rPr>
          <w:rFonts w:hint="eastAsia" w:ascii="宋体" w:hAnsi="宋体" w:cs="宋体"/>
          <w:highlight w:val="none"/>
        </w:rPr>
        <w:t>税号：91310000736228569K</w:t>
      </w:r>
    </w:p>
    <w:p>
      <w:pPr>
        <w:tabs>
          <w:tab w:val="left" w:pos="540"/>
        </w:tabs>
        <w:spacing w:line="460" w:lineRule="exact"/>
        <w:ind w:firstLine="420" w:firstLineChars="200"/>
        <w:rPr>
          <w:rFonts w:ascii="宋体" w:hAnsi="宋体" w:cs="宋体"/>
          <w:highlight w:val="none"/>
        </w:rPr>
      </w:pPr>
      <w:r>
        <w:rPr>
          <w:rFonts w:hint="eastAsia" w:ascii="宋体" w:hAnsi="宋体" w:cs="宋体"/>
          <w:highlight w:val="none"/>
        </w:rPr>
        <w:t>乙方账户信息：</w:t>
      </w:r>
    </w:p>
    <w:p>
      <w:pPr>
        <w:tabs>
          <w:tab w:val="left" w:pos="540"/>
        </w:tabs>
        <w:spacing w:line="460" w:lineRule="exact"/>
        <w:ind w:firstLine="420" w:firstLineChars="200"/>
        <w:rPr>
          <w:rFonts w:ascii="宋体" w:hAnsi="宋体" w:cs="宋体"/>
          <w:highlight w:val="none"/>
        </w:rPr>
      </w:pPr>
      <w:r>
        <w:rPr>
          <w:rFonts w:hint="eastAsia" w:ascii="宋体" w:hAnsi="宋体" w:cs="宋体"/>
          <w:highlight w:val="none"/>
        </w:rPr>
        <w:t>单位名称：</w:t>
      </w:r>
      <w:r>
        <w:rPr>
          <w:rFonts w:ascii="宋体" w:hAnsi="宋体" w:cs="宋体"/>
          <w:highlight w:val="none"/>
        </w:rPr>
        <w:t xml:space="preserve"> </w:t>
      </w:r>
    </w:p>
    <w:p>
      <w:pPr>
        <w:tabs>
          <w:tab w:val="left" w:pos="540"/>
        </w:tabs>
        <w:spacing w:line="460" w:lineRule="exact"/>
        <w:ind w:firstLine="420" w:firstLineChars="200"/>
        <w:rPr>
          <w:rFonts w:ascii="宋体" w:hAnsi="宋体" w:cs="宋体"/>
          <w:highlight w:val="none"/>
        </w:rPr>
      </w:pPr>
      <w:r>
        <w:rPr>
          <w:rFonts w:hint="eastAsia" w:ascii="宋体" w:hAnsi="宋体" w:cs="宋体"/>
          <w:highlight w:val="none"/>
        </w:rPr>
        <w:t>开户银行：</w:t>
      </w:r>
      <w:r>
        <w:rPr>
          <w:rFonts w:ascii="宋体" w:hAnsi="宋体" w:cs="宋体"/>
          <w:highlight w:val="none"/>
        </w:rPr>
        <w:t xml:space="preserve"> </w:t>
      </w:r>
    </w:p>
    <w:p>
      <w:pPr>
        <w:tabs>
          <w:tab w:val="left" w:pos="540"/>
        </w:tabs>
        <w:spacing w:line="460" w:lineRule="exact"/>
        <w:ind w:firstLine="420" w:firstLineChars="200"/>
        <w:rPr>
          <w:rFonts w:ascii="宋体" w:hAnsi="宋体" w:cs="宋体"/>
          <w:highlight w:val="none"/>
        </w:rPr>
      </w:pPr>
      <w:r>
        <w:rPr>
          <w:rFonts w:hint="eastAsia" w:ascii="宋体" w:hAnsi="宋体"/>
          <w:highlight w:val="none"/>
        </w:rPr>
        <w:t>开户账号</w:t>
      </w:r>
      <w:r>
        <w:rPr>
          <w:rFonts w:hint="eastAsia" w:ascii="宋体" w:hAnsi="宋体" w:cs="宋体"/>
          <w:highlight w:val="none"/>
        </w:rPr>
        <w:t>：</w:t>
      </w:r>
    </w:p>
    <w:p>
      <w:pPr>
        <w:spacing w:line="440" w:lineRule="exact"/>
        <w:ind w:firstLine="420" w:firstLineChars="200"/>
        <w:rPr>
          <w:rFonts w:ascii="宋体" w:hAnsi="宋体"/>
          <w:highlight w:val="none"/>
        </w:rPr>
      </w:pPr>
    </w:p>
    <w:p>
      <w:pPr>
        <w:spacing w:line="440" w:lineRule="exact"/>
        <w:ind w:firstLine="420" w:firstLineChars="200"/>
        <w:rPr>
          <w:rFonts w:hint="eastAsia" w:ascii="宋体" w:hAnsi="宋体"/>
          <w:highlight w:val="none"/>
        </w:rPr>
      </w:pPr>
      <w:r>
        <w:rPr>
          <w:rFonts w:hint="eastAsia" w:ascii="宋体" w:hAnsi="宋体"/>
          <w:highlight w:val="none"/>
        </w:rPr>
        <w:t>乙方于此承诺，在本合同履行期间保证上述所载之乙方银行账户不变。如对前述银行账户信息确需变更的，乙方应当提前7个工作日书面通知甲方且经甲方确认知悉后，方可视为该银行账户变更成功。如因乙方提供的账户信息错误或未经前述约定之有效变更程序，导致甲方不能按照本合同约定付款或付款未成功的，甲方将不承担任何责任。</w:t>
      </w:r>
    </w:p>
    <w:p>
      <w:pPr>
        <w:tabs>
          <w:tab w:val="left" w:pos="3510"/>
        </w:tabs>
        <w:spacing w:before="100" w:beforeAutospacing="1" w:after="100" w:afterAutospacing="1" w:line="460" w:lineRule="exact"/>
        <w:ind w:left="720" w:hanging="720"/>
        <w:outlineLvl w:val="0"/>
        <w:rPr>
          <w:rFonts w:ascii="宋体" w:hAnsi="宋体" w:cs="宋体"/>
          <w:b/>
          <w:bCs/>
          <w:highlight w:val="none"/>
        </w:rPr>
      </w:pPr>
      <w:r>
        <w:rPr>
          <w:rFonts w:hint="eastAsia" w:ascii="宋体" w:hAnsi="宋体" w:cs="宋体"/>
          <w:b/>
          <w:bCs/>
          <w:highlight w:val="none"/>
        </w:rPr>
        <w:t>四、交货及</w:t>
      </w:r>
      <w:r>
        <w:rPr>
          <w:rFonts w:ascii="宋体" w:hAnsi="宋体" w:cs="宋体"/>
          <w:b/>
          <w:bCs/>
          <w:highlight w:val="none"/>
        </w:rPr>
        <w:t>安装</w:t>
      </w:r>
      <w:r>
        <w:rPr>
          <w:rFonts w:hint="eastAsia" w:ascii="宋体" w:hAnsi="宋体" w:cs="宋体"/>
          <w:b/>
          <w:bCs/>
          <w:highlight w:val="none"/>
        </w:rPr>
        <w:t>事宜</w:t>
      </w:r>
    </w:p>
    <w:p>
      <w:pPr>
        <w:spacing w:line="360" w:lineRule="auto"/>
        <w:ind w:left="718" w:leftChars="200" w:hanging="298" w:hangingChars="142"/>
        <w:rPr>
          <w:rFonts w:ascii="宋体" w:hAnsi="宋体" w:cs="宋体"/>
          <w:highlight w:val="none"/>
        </w:rPr>
      </w:pPr>
      <w:r>
        <w:rPr>
          <w:rFonts w:ascii="宋体" w:hAnsi="宋体" w:cs="宋体"/>
          <w:highlight w:val="none"/>
        </w:rPr>
        <w:t>1</w:t>
      </w:r>
      <w:r>
        <w:rPr>
          <w:rFonts w:hint="eastAsia" w:ascii="宋体" w:hAnsi="宋体" w:cs="宋体"/>
          <w:highlight w:val="none"/>
        </w:rPr>
        <w:t>、交货时间：根据客户提前30天通知再指定时间完成到货</w:t>
      </w:r>
    </w:p>
    <w:p>
      <w:pPr>
        <w:spacing w:line="360" w:lineRule="auto"/>
        <w:ind w:left="718" w:leftChars="200" w:hanging="298" w:hangingChars="142"/>
        <w:rPr>
          <w:rFonts w:ascii="宋体" w:hAnsi="宋体" w:cs="宋体"/>
          <w:color w:val="000000"/>
          <w:highlight w:val="none"/>
        </w:rPr>
      </w:pPr>
      <w:r>
        <w:rPr>
          <w:rFonts w:ascii="宋体" w:hAnsi="宋体" w:cs="宋体"/>
          <w:highlight w:val="none"/>
        </w:rPr>
        <w:t>2</w:t>
      </w:r>
      <w:r>
        <w:rPr>
          <w:rFonts w:hint="eastAsia" w:ascii="宋体" w:hAnsi="宋体" w:cs="宋体"/>
          <w:highlight w:val="none"/>
        </w:rPr>
        <w:t>、</w:t>
      </w:r>
      <w:r>
        <w:rPr>
          <w:rFonts w:hint="eastAsia" w:ascii="宋体" w:hAnsi="宋体" w:cs="宋体"/>
          <w:color w:val="000000"/>
          <w:highlight w:val="none"/>
        </w:rPr>
        <w:t>交货信息：</w:t>
      </w:r>
    </w:p>
    <w:p>
      <w:pPr>
        <w:spacing w:before="156" w:line="360" w:lineRule="auto"/>
        <w:ind w:left="420"/>
        <w:rPr>
          <w:rFonts w:ascii="宋体" w:hAnsi="宋体" w:cs="宋体"/>
          <w:color w:val="000000"/>
          <w:highlight w:val="none"/>
          <w:u w:val="single"/>
        </w:rPr>
      </w:pPr>
      <w:r>
        <w:rPr>
          <w:rFonts w:hint="eastAsia" w:ascii="宋体" w:hAnsi="宋体" w:cs="宋体"/>
          <w:color w:val="000000"/>
          <w:highlight w:val="none"/>
        </w:rPr>
        <w:t>（</w:t>
      </w:r>
      <w:r>
        <w:rPr>
          <w:rFonts w:ascii="宋体" w:hAnsi="宋体" w:cs="宋体"/>
          <w:color w:val="000000"/>
          <w:highlight w:val="none"/>
        </w:rPr>
        <w:t>1</w:t>
      </w:r>
      <w:r>
        <w:rPr>
          <w:rFonts w:hint="eastAsia" w:ascii="宋体" w:hAnsi="宋体" w:cs="宋体"/>
          <w:color w:val="000000"/>
          <w:highlight w:val="none"/>
        </w:rPr>
        <w:t>）甲方指定本合同项下货物的收货单位（人）全称为：</w:t>
      </w:r>
      <w:r>
        <w:rPr>
          <w:rFonts w:ascii="宋体" w:hAnsi="宋体" w:cs="宋体"/>
          <w:color w:val="000000"/>
          <w:highlight w:val="none"/>
          <w:u w:val="single"/>
        </w:rPr>
        <w:t xml:space="preserve"> </w:t>
      </w:r>
      <w:r>
        <w:rPr>
          <w:rFonts w:hint="eastAsia" w:ascii="宋体" w:hAnsi="宋体" w:cs="宋体"/>
          <w:color w:val="000000"/>
          <w:highlight w:val="none"/>
          <w:u w:val="single"/>
        </w:rPr>
        <w:t xml:space="preserve">上海黄金交易所 </w:t>
      </w:r>
      <w:r>
        <w:rPr>
          <w:rFonts w:hint="eastAsia" w:ascii="宋体" w:hAnsi="宋体" w:cs="宋体"/>
          <w:color w:val="000000"/>
          <w:highlight w:val="none"/>
        </w:rPr>
        <w:t>；货物收货地址为：</w:t>
      </w:r>
      <w:r>
        <w:rPr>
          <w:rFonts w:hint="eastAsia" w:ascii="宋体" w:hAnsi="宋体" w:cs="宋体"/>
          <w:color w:val="000000"/>
          <w:highlight w:val="none"/>
          <w:u w:val="single"/>
        </w:rPr>
        <w:t xml:space="preserve">         </w:t>
      </w:r>
    </w:p>
    <w:p>
      <w:pPr>
        <w:spacing w:before="156" w:line="360" w:lineRule="auto"/>
        <w:ind w:left="420"/>
        <w:rPr>
          <w:rFonts w:ascii="宋体" w:hAnsi="宋体" w:cs="宋体"/>
          <w:color w:val="000000"/>
          <w:highlight w:val="none"/>
          <w:u w:val="single"/>
        </w:rPr>
      </w:pPr>
      <w:r>
        <w:rPr>
          <w:rFonts w:hint="eastAsia" w:ascii="宋体" w:hAnsi="宋体" w:cs="宋体"/>
          <w:color w:val="000000"/>
          <w:highlight w:val="none"/>
        </w:rPr>
        <w:t>（</w:t>
      </w:r>
      <w:r>
        <w:rPr>
          <w:rFonts w:ascii="宋体" w:hAnsi="宋体" w:cs="宋体"/>
          <w:color w:val="000000"/>
          <w:highlight w:val="none"/>
        </w:rPr>
        <w:t>2</w:t>
      </w:r>
      <w:r>
        <w:rPr>
          <w:rFonts w:hint="eastAsia" w:ascii="宋体" w:hAnsi="宋体" w:cs="宋体"/>
          <w:color w:val="000000"/>
          <w:highlight w:val="none"/>
        </w:rPr>
        <w:t>）甲方指定的联系人的姓名及联系</w:t>
      </w:r>
    </w:p>
    <w:p>
      <w:pPr>
        <w:spacing w:before="156" w:line="360" w:lineRule="auto"/>
        <w:ind w:left="420"/>
        <w:rPr>
          <w:rFonts w:ascii="宋体" w:hAnsi="宋体" w:cs="宋体"/>
          <w:color w:val="000000"/>
          <w:highlight w:val="none"/>
          <w:u w:val="single"/>
        </w:rPr>
      </w:pPr>
      <w:r>
        <w:rPr>
          <w:rFonts w:hint="eastAsia" w:ascii="宋体" w:hAnsi="宋体" w:cs="宋体"/>
          <w:color w:val="000000"/>
          <w:highlight w:val="none"/>
        </w:rPr>
        <w:t>（</w:t>
      </w:r>
      <w:r>
        <w:rPr>
          <w:rFonts w:ascii="宋体" w:hAnsi="宋体" w:cs="宋体"/>
          <w:color w:val="000000"/>
          <w:highlight w:val="none"/>
        </w:rPr>
        <w:t>3</w:t>
      </w:r>
      <w:r>
        <w:rPr>
          <w:rFonts w:hint="eastAsia" w:ascii="宋体" w:hAnsi="宋体" w:cs="宋体"/>
          <w:color w:val="000000"/>
          <w:highlight w:val="none"/>
        </w:rPr>
        <w:t>）乙方指定的联系人的姓名及联系方式为：</w:t>
      </w:r>
    </w:p>
    <w:p>
      <w:pPr>
        <w:tabs>
          <w:tab w:val="left" w:pos="540"/>
        </w:tabs>
        <w:spacing w:line="360" w:lineRule="auto"/>
        <w:ind w:left="420" w:leftChars="200"/>
        <w:rPr>
          <w:rFonts w:ascii="宋体" w:hAnsi="宋体" w:cs="宋体"/>
          <w:highlight w:val="none"/>
        </w:rPr>
      </w:pPr>
      <w:r>
        <w:rPr>
          <w:rFonts w:ascii="宋体" w:hAnsi="宋体" w:cs="宋体"/>
          <w:highlight w:val="none"/>
        </w:rPr>
        <w:t>3</w:t>
      </w:r>
      <w:r>
        <w:rPr>
          <w:rFonts w:hint="eastAsia" w:ascii="宋体" w:hAnsi="宋体" w:cs="宋体"/>
          <w:highlight w:val="none"/>
        </w:rPr>
        <w:t>、运输方式以及运费承担：乙方负责货物到合同指定的交货地点的运输，并承担货物的运输风险。</w:t>
      </w:r>
    </w:p>
    <w:p>
      <w:pPr>
        <w:tabs>
          <w:tab w:val="left" w:pos="540"/>
        </w:tabs>
        <w:spacing w:line="360" w:lineRule="auto"/>
        <w:ind w:left="420" w:leftChars="200"/>
        <w:rPr>
          <w:rFonts w:hint="eastAsia" w:ascii="宋体" w:hAnsi="宋体" w:cs="宋体"/>
          <w:highlight w:val="none"/>
        </w:rPr>
      </w:pPr>
      <w:r>
        <w:rPr>
          <w:rFonts w:hint="eastAsia" w:ascii="宋体" w:hAnsi="宋体" w:cs="宋体"/>
          <w:highlight w:val="none"/>
        </w:rPr>
        <w:t>4、非甲方原因延宕，产品交付、清点并加电验收通过后的</w:t>
      </w:r>
      <w:r>
        <w:rPr>
          <w:rFonts w:hint="eastAsia" w:ascii="宋体" w:hAnsi="宋体" w:cs="宋体"/>
          <w:highlight w:val="none"/>
          <w:lang w:val="en-US" w:eastAsia="zh-CN"/>
        </w:rPr>
        <w:t>10</w:t>
      </w:r>
      <w:r>
        <w:rPr>
          <w:rFonts w:hint="eastAsia" w:ascii="宋体" w:hAnsi="宋体" w:cs="宋体"/>
          <w:highlight w:val="none"/>
        </w:rPr>
        <w:t>个工作日内，乙方须协调原厂按照甲方要求完成所有产品的集成安装工作。</w:t>
      </w:r>
    </w:p>
    <w:p>
      <w:pPr>
        <w:tabs>
          <w:tab w:val="left" w:pos="3510"/>
        </w:tabs>
        <w:spacing w:before="100" w:beforeAutospacing="1" w:after="100" w:afterAutospacing="1" w:line="460" w:lineRule="exact"/>
        <w:ind w:left="720" w:hanging="720"/>
        <w:outlineLvl w:val="0"/>
        <w:rPr>
          <w:rFonts w:ascii="宋体" w:hAnsi="宋体" w:cs="宋体"/>
          <w:b/>
          <w:bCs/>
          <w:color w:val="000000"/>
          <w:highlight w:val="none"/>
        </w:rPr>
      </w:pPr>
      <w:r>
        <w:rPr>
          <w:rFonts w:hint="eastAsia" w:ascii="宋体" w:hAnsi="宋体" w:cs="宋体"/>
          <w:b/>
          <w:bCs/>
          <w:highlight w:val="none"/>
        </w:rPr>
        <w:t>五、包装标准、品质保证</w:t>
      </w:r>
    </w:p>
    <w:p>
      <w:pPr>
        <w:tabs>
          <w:tab w:val="left" w:pos="540"/>
        </w:tabs>
        <w:spacing w:line="360" w:lineRule="exact"/>
        <w:ind w:firstLine="420" w:firstLineChars="200"/>
        <w:rPr>
          <w:rFonts w:ascii="宋体" w:hAnsi="宋体" w:cs="宋体"/>
          <w:highlight w:val="none"/>
        </w:rPr>
      </w:pPr>
      <w:r>
        <w:rPr>
          <w:rFonts w:ascii="宋体" w:hAnsi="宋体" w:cs="宋体"/>
          <w:highlight w:val="none"/>
        </w:rPr>
        <w:t>1</w:t>
      </w:r>
      <w:r>
        <w:rPr>
          <w:rFonts w:hint="eastAsia" w:ascii="宋体" w:hAnsi="宋体" w:cs="宋体"/>
          <w:highlight w:val="none"/>
        </w:rPr>
        <w:t>、乙方提供的货物为原厂商包装，包装按原厂商的有关规定执行，解释权归原厂商，安装集成服务由乙方协调原厂负责执行，甲方提供必要的安装条件支持。</w:t>
      </w:r>
    </w:p>
    <w:p>
      <w:pPr>
        <w:tabs>
          <w:tab w:val="left" w:pos="540"/>
        </w:tabs>
        <w:spacing w:line="360" w:lineRule="exact"/>
        <w:ind w:firstLine="420" w:firstLineChars="200"/>
        <w:rPr>
          <w:rFonts w:ascii="宋体" w:hAnsi="宋体" w:cs="宋体"/>
          <w:highlight w:val="none"/>
        </w:rPr>
      </w:pPr>
      <w:r>
        <w:rPr>
          <w:rFonts w:ascii="宋体" w:hAnsi="宋体" w:cs="宋体"/>
          <w:highlight w:val="none"/>
        </w:rPr>
        <w:t>2</w:t>
      </w:r>
      <w:r>
        <w:rPr>
          <w:rFonts w:hint="eastAsia" w:ascii="宋体" w:hAnsi="宋体" w:cs="宋体"/>
          <w:highlight w:val="none"/>
        </w:rPr>
        <w:t>、乙方交付甲方的本合同项下的货物均须符合原厂商的相关技术规范。</w:t>
      </w:r>
    </w:p>
    <w:p>
      <w:pPr>
        <w:tabs>
          <w:tab w:val="left" w:pos="540"/>
        </w:tabs>
        <w:spacing w:line="360" w:lineRule="exact"/>
        <w:ind w:firstLine="420" w:firstLineChars="200"/>
        <w:rPr>
          <w:rFonts w:ascii="宋体" w:hAnsi="宋体" w:cs="宋体"/>
          <w:snapToGrid w:val="0"/>
          <w:kern w:val="0"/>
          <w:highlight w:val="none"/>
        </w:rPr>
      </w:pPr>
      <w:r>
        <w:rPr>
          <w:rFonts w:ascii="宋体" w:hAnsi="宋体" w:cs="宋体"/>
          <w:highlight w:val="none"/>
        </w:rPr>
        <w:t>3</w:t>
      </w:r>
      <w:r>
        <w:rPr>
          <w:rFonts w:hint="eastAsia" w:ascii="宋体" w:hAnsi="宋体" w:cs="宋体"/>
          <w:highlight w:val="none"/>
        </w:rPr>
        <w:t>、乙方向甲方承诺：本方向甲方承诺的产品及服务均为原厂正品，乙方确保甲方可以享受原厂保修服务，在规定的质量保证期内，乙方确保原厂对设计、工艺和材料等缺陷而造成的任何问题或故障负责。一旦发生上述质量问题或故障等情况，由乙方负责协调原厂处理，并确保原厂及时、免费更换有问题的整机，如原厂无法按上述约定进行保修及更换，由乙方向甲方承担责任。除合同另有规定外，在质保期内如出现上述情况，乙方应在收到甲方通知后5个工作日内，协调原厂免费负责更换有缺陷的整机。</w:t>
      </w:r>
    </w:p>
    <w:p>
      <w:pPr>
        <w:tabs>
          <w:tab w:val="left" w:pos="540"/>
        </w:tabs>
        <w:spacing w:line="360" w:lineRule="exact"/>
        <w:ind w:firstLine="420" w:firstLineChars="200"/>
        <w:rPr>
          <w:rFonts w:hint="eastAsia" w:ascii="宋体" w:hAnsi="宋体" w:cs="宋体"/>
          <w:highlight w:val="none"/>
        </w:rPr>
      </w:pPr>
      <w:r>
        <w:rPr>
          <w:rFonts w:hint="eastAsia" w:ascii="宋体" w:hAnsi="宋体" w:cs="宋体"/>
          <w:highlight w:val="none"/>
        </w:rPr>
        <w:t>4</w:t>
      </w:r>
      <w:r>
        <w:rPr>
          <w:rFonts w:ascii="宋体" w:hAnsi="宋体" w:cs="宋体"/>
          <w:highlight w:val="none"/>
        </w:rPr>
        <w:t>.</w:t>
      </w:r>
      <w:r>
        <w:rPr>
          <w:rFonts w:hint="eastAsia" w:ascii="宋体" w:hAnsi="宋体" w:cs="宋体"/>
          <w:highlight w:val="none"/>
        </w:rPr>
        <w:t>乙方承诺，准许甲方在履行本合同过程中，出于合同目的的使用乙方权利框架内的知识产权及各项关联权利。</w:t>
      </w:r>
    </w:p>
    <w:p>
      <w:pPr>
        <w:tabs>
          <w:tab w:val="left" w:pos="3510"/>
        </w:tabs>
        <w:spacing w:before="100" w:beforeAutospacing="1" w:after="100" w:afterAutospacing="1" w:line="460" w:lineRule="exact"/>
        <w:ind w:left="720" w:hanging="720"/>
        <w:outlineLvl w:val="0"/>
        <w:rPr>
          <w:rFonts w:ascii="宋体" w:hAnsi="宋体" w:cs="宋体"/>
          <w:b/>
          <w:bCs/>
          <w:highlight w:val="none"/>
        </w:rPr>
      </w:pPr>
      <w:r>
        <w:rPr>
          <w:rFonts w:hint="eastAsia" w:ascii="宋体" w:hAnsi="宋体" w:cs="宋体"/>
          <w:b/>
          <w:bCs/>
          <w:highlight w:val="none"/>
        </w:rPr>
        <w:t>六</w:t>
      </w:r>
      <w:r>
        <w:rPr>
          <w:rFonts w:hint="eastAsia" w:ascii="宋体" w:hAnsi="宋体" w:cs="宋体"/>
          <w:highlight w:val="none"/>
        </w:rPr>
        <w:t>、</w:t>
      </w:r>
      <w:r>
        <w:rPr>
          <w:rFonts w:hint="eastAsia" w:ascii="宋体" w:hAnsi="宋体" w:cs="宋体"/>
          <w:b/>
          <w:bCs/>
          <w:highlight w:val="none"/>
        </w:rPr>
        <w:t>验收</w:t>
      </w:r>
    </w:p>
    <w:p>
      <w:pPr>
        <w:numPr>
          <w:ilvl w:val="0"/>
          <w:numId w:val="9"/>
        </w:numPr>
        <w:tabs>
          <w:tab w:val="left" w:pos="180"/>
          <w:tab w:val="clear" w:pos="780"/>
        </w:tabs>
        <w:spacing w:before="156" w:line="360" w:lineRule="exact"/>
        <w:rPr>
          <w:rFonts w:ascii="宋体" w:hAnsi="宋体" w:cs="宋体"/>
          <w:highlight w:val="none"/>
        </w:rPr>
      </w:pPr>
      <w:r>
        <w:rPr>
          <w:rFonts w:hint="eastAsia" w:ascii="宋体" w:hAnsi="宋体" w:cs="宋体"/>
          <w:color w:val="000000"/>
          <w:highlight w:val="none"/>
        </w:rPr>
        <w:t>验货标准：货物在品牌、规格、型号、数量和包装上符合原厂商的标准以及本合同第二款与第五款的约定。</w:t>
      </w:r>
    </w:p>
    <w:p>
      <w:pPr>
        <w:numPr>
          <w:ilvl w:val="0"/>
          <w:numId w:val="9"/>
        </w:numPr>
        <w:spacing w:before="156" w:line="360" w:lineRule="exact"/>
        <w:rPr>
          <w:rFonts w:ascii="宋体" w:hAnsi="宋体" w:cs="宋体"/>
          <w:color w:val="000000"/>
          <w:highlight w:val="none"/>
        </w:rPr>
      </w:pPr>
      <w:r>
        <w:rPr>
          <w:rFonts w:hint="eastAsia" w:ascii="宋体" w:hAnsi="宋体" w:cs="宋体"/>
          <w:color w:val="000000"/>
          <w:highlight w:val="none"/>
        </w:rPr>
        <w:t>乙方向甲方提供验收单（见附件二），甲方在货物到达交货地点后</w:t>
      </w:r>
      <w:r>
        <w:rPr>
          <w:rFonts w:ascii="宋体" w:hAnsi="宋体" w:cs="宋体"/>
          <w:highlight w:val="none"/>
          <w:u w:val="single"/>
        </w:rPr>
        <w:t xml:space="preserve"> </w:t>
      </w:r>
      <w:r>
        <w:rPr>
          <w:rFonts w:hint="eastAsia" w:ascii="宋体" w:hAnsi="宋体" w:cs="宋体"/>
          <w:highlight w:val="none"/>
          <w:u w:val="single"/>
        </w:rPr>
        <w:t>10</w:t>
      </w:r>
      <w:r>
        <w:rPr>
          <w:rFonts w:ascii="宋体" w:hAnsi="宋体" w:cs="宋体"/>
          <w:highlight w:val="none"/>
          <w:u w:val="single"/>
        </w:rPr>
        <w:t xml:space="preserve"> </w:t>
      </w:r>
      <w:r>
        <w:rPr>
          <w:rFonts w:hint="eastAsia" w:ascii="宋体" w:hAnsi="宋体" w:cs="宋体"/>
          <w:highlight w:val="none"/>
        </w:rPr>
        <w:t>个工作</w:t>
      </w:r>
      <w:r>
        <w:rPr>
          <w:rFonts w:hint="eastAsia" w:ascii="宋体" w:hAnsi="宋体" w:cs="宋体"/>
          <w:color w:val="000000"/>
          <w:highlight w:val="none"/>
        </w:rPr>
        <w:t>日内进行货物验收。验收时，须由甲乙双方共同对货物</w:t>
      </w:r>
      <w:r>
        <w:rPr>
          <w:rFonts w:ascii="宋体" w:hAnsi="宋体" w:cs="宋体"/>
          <w:color w:val="000000"/>
          <w:highlight w:val="none"/>
        </w:rPr>
        <w:t>进行清点并</w:t>
      </w:r>
      <w:r>
        <w:rPr>
          <w:rFonts w:hint="eastAsia" w:ascii="宋体" w:hAnsi="宋体" w:cs="宋体"/>
          <w:color w:val="000000"/>
          <w:highlight w:val="none"/>
        </w:rPr>
        <w:t>加电试运行，清点无误</w:t>
      </w:r>
      <w:r>
        <w:rPr>
          <w:rFonts w:ascii="宋体" w:hAnsi="宋体" w:cs="宋体"/>
          <w:color w:val="000000"/>
          <w:highlight w:val="none"/>
        </w:rPr>
        <w:t>，加电无故障，则视为</w:t>
      </w:r>
      <w:r>
        <w:rPr>
          <w:rFonts w:hint="eastAsia" w:ascii="宋体" w:hAnsi="宋体" w:cs="宋体"/>
          <w:color w:val="000000"/>
          <w:highlight w:val="none"/>
        </w:rPr>
        <w:t>本项</w:t>
      </w:r>
      <w:r>
        <w:rPr>
          <w:rFonts w:ascii="宋体" w:hAnsi="宋体" w:cs="宋体"/>
          <w:color w:val="000000"/>
          <w:highlight w:val="none"/>
        </w:rPr>
        <w:t>验收</w:t>
      </w:r>
      <w:r>
        <w:rPr>
          <w:rFonts w:hint="eastAsia" w:ascii="宋体" w:hAnsi="宋体" w:cs="宋体"/>
          <w:color w:val="000000"/>
          <w:highlight w:val="none"/>
        </w:rPr>
        <w:t>通过；若由于非乙方原因导致逾期</w:t>
      </w:r>
      <w:r>
        <w:rPr>
          <w:rFonts w:ascii="宋体" w:hAnsi="宋体" w:cs="宋体"/>
          <w:color w:val="000000"/>
          <w:highlight w:val="none"/>
          <w:u w:val="single"/>
        </w:rPr>
        <w:t>10</w:t>
      </w:r>
      <w:r>
        <w:rPr>
          <w:rFonts w:hint="eastAsia" w:ascii="宋体" w:hAnsi="宋体" w:cs="宋体"/>
          <w:color w:val="000000"/>
          <w:highlight w:val="none"/>
        </w:rPr>
        <w:t>个工作日仍未验收，视为此项验收通过。甲方在验收过程中发现问题，乙方又未能在</w:t>
      </w:r>
      <w:r>
        <w:rPr>
          <w:rFonts w:hint="eastAsia" w:ascii="宋体" w:hAnsi="宋体" w:cs="宋体"/>
          <w:color w:val="000000"/>
          <w:highlight w:val="none"/>
          <w:u w:val="single"/>
        </w:rPr>
        <w:t xml:space="preserve"> </w:t>
      </w:r>
      <w:r>
        <w:rPr>
          <w:rFonts w:ascii="宋体" w:hAnsi="宋体" w:cs="宋体"/>
          <w:color w:val="000000"/>
          <w:highlight w:val="none"/>
          <w:u w:val="single"/>
        </w:rPr>
        <w:t>3</w:t>
      </w:r>
      <w:r>
        <w:rPr>
          <w:rFonts w:hint="eastAsia" w:ascii="宋体" w:hAnsi="宋体" w:cs="宋体"/>
          <w:color w:val="000000"/>
          <w:highlight w:val="none"/>
          <w:u w:val="single"/>
        </w:rPr>
        <w:t xml:space="preserve"> </w:t>
      </w:r>
      <w:r>
        <w:rPr>
          <w:rFonts w:hint="eastAsia" w:ascii="宋体" w:hAnsi="宋体" w:cs="宋体"/>
          <w:color w:val="000000"/>
          <w:highlight w:val="none"/>
        </w:rPr>
        <w:t>个工作日内予以解决的且令甲方满意的，视为乙方违约，按照本合同第七款第一条“乙方</w:t>
      </w:r>
      <w:r>
        <w:rPr>
          <w:rFonts w:ascii="宋体" w:hAnsi="宋体" w:cs="宋体"/>
          <w:color w:val="000000"/>
          <w:highlight w:val="none"/>
        </w:rPr>
        <w:t>违约责任”</w:t>
      </w:r>
      <w:r>
        <w:rPr>
          <w:rFonts w:hint="eastAsia" w:ascii="宋体" w:hAnsi="宋体" w:cs="宋体"/>
          <w:color w:val="000000"/>
          <w:highlight w:val="none"/>
        </w:rPr>
        <w:t>第（</w:t>
      </w:r>
      <w:r>
        <w:rPr>
          <w:rFonts w:ascii="宋体" w:hAnsi="宋体" w:cs="宋体"/>
          <w:color w:val="000000"/>
          <w:highlight w:val="none"/>
        </w:rPr>
        <w:t>1</w:t>
      </w:r>
      <w:r>
        <w:rPr>
          <w:rFonts w:hint="eastAsia" w:ascii="宋体" w:hAnsi="宋体" w:cs="宋体"/>
          <w:color w:val="000000"/>
          <w:highlight w:val="none"/>
        </w:rPr>
        <w:t>）项约定处罚。</w:t>
      </w:r>
    </w:p>
    <w:p>
      <w:pPr>
        <w:numPr>
          <w:ilvl w:val="0"/>
          <w:numId w:val="9"/>
        </w:numPr>
        <w:spacing w:before="156" w:line="360" w:lineRule="exact"/>
        <w:rPr>
          <w:rFonts w:ascii="宋体" w:hAnsi="宋体" w:cs="宋体"/>
          <w:color w:val="000000"/>
          <w:highlight w:val="none"/>
        </w:rPr>
      </w:pPr>
      <w:r>
        <w:rPr>
          <w:rFonts w:hint="eastAsia" w:ascii="宋体" w:hAnsi="宋体" w:cs="宋体"/>
          <w:color w:val="000000"/>
          <w:highlight w:val="none"/>
        </w:rPr>
        <w:t>本次采购的所有货物安装工作由</w:t>
      </w:r>
      <w:r>
        <w:rPr>
          <w:rFonts w:hint="eastAsia" w:ascii="宋体" w:hAnsi="宋体" w:cs="宋体"/>
          <w:highlight w:val="none"/>
        </w:rPr>
        <w:t>原厂完成，</w:t>
      </w:r>
      <w:r>
        <w:rPr>
          <w:rFonts w:hint="eastAsia" w:ascii="宋体" w:hAnsi="宋体" w:cs="宋体"/>
          <w:color w:val="000000"/>
          <w:highlight w:val="none"/>
        </w:rPr>
        <w:t>乙方负责（甲方</w:t>
      </w:r>
      <w:r>
        <w:rPr>
          <w:rFonts w:ascii="宋体" w:hAnsi="宋体" w:cs="宋体"/>
          <w:color w:val="000000"/>
          <w:highlight w:val="none"/>
        </w:rPr>
        <w:t>提供必要的协助）</w:t>
      </w:r>
      <w:r>
        <w:rPr>
          <w:rFonts w:hint="eastAsia" w:ascii="宋体" w:hAnsi="宋体" w:cs="宋体"/>
          <w:color w:val="000000"/>
          <w:highlight w:val="none"/>
        </w:rPr>
        <w:t>，乙方</w:t>
      </w:r>
      <w:r>
        <w:rPr>
          <w:rFonts w:hint="eastAsia" w:ascii="宋体" w:hAnsi="宋体" w:cs="宋体"/>
          <w:highlight w:val="none"/>
        </w:rPr>
        <w:t>协调原厂</w:t>
      </w:r>
      <w:r>
        <w:rPr>
          <w:rFonts w:hint="eastAsia" w:ascii="宋体" w:hAnsi="宋体" w:cs="宋体"/>
          <w:color w:val="000000"/>
          <w:highlight w:val="none"/>
        </w:rPr>
        <w:t>需在货物验收完成后</w:t>
      </w:r>
      <w:r>
        <w:rPr>
          <w:rFonts w:hint="eastAsia" w:ascii="宋体" w:hAnsi="宋体" w:cs="宋体"/>
          <w:color w:val="000000"/>
          <w:highlight w:val="none"/>
          <w:u w:val="single"/>
        </w:rPr>
        <w:t>10</w:t>
      </w:r>
      <w:r>
        <w:rPr>
          <w:rFonts w:hint="eastAsia" w:ascii="宋体" w:hAnsi="宋体" w:cs="宋体"/>
          <w:color w:val="000000"/>
          <w:highlight w:val="none"/>
        </w:rPr>
        <w:t>个工作日内完成设备的安装集成工作，安装集成工作完成后须经甲方验收通过。甲方在安装集成工作完毕并提交验收申请（见附件三）</w:t>
      </w:r>
      <w:r>
        <w:rPr>
          <w:rFonts w:ascii="宋体" w:hAnsi="宋体" w:cs="宋体"/>
          <w:color w:val="000000"/>
          <w:highlight w:val="none"/>
          <w:u w:val="single"/>
        </w:rPr>
        <w:t>10</w:t>
      </w:r>
      <w:r>
        <w:rPr>
          <w:rFonts w:hint="eastAsia" w:ascii="宋体" w:hAnsi="宋体" w:cs="宋体"/>
          <w:color w:val="000000"/>
          <w:highlight w:val="none"/>
        </w:rPr>
        <w:t>个工作日内必须展开验收，若由于甲方原因导致逾期</w:t>
      </w:r>
      <w:r>
        <w:rPr>
          <w:rFonts w:ascii="宋体" w:hAnsi="宋体" w:cs="宋体"/>
          <w:color w:val="000000"/>
          <w:highlight w:val="none"/>
          <w:u w:val="single"/>
        </w:rPr>
        <w:t>10</w:t>
      </w:r>
      <w:r>
        <w:rPr>
          <w:rFonts w:hint="eastAsia" w:ascii="宋体" w:hAnsi="宋体" w:cs="宋体"/>
          <w:color w:val="000000"/>
          <w:highlight w:val="none"/>
        </w:rPr>
        <w:t>个工作日仍未验收，视为验收通过。甲方须对验收过程中发现的问题向乙方进行详细说明，存在异议的，双方协商解决；乙方须对甲方所有验收过程中发现的问题及时进行处理， 应在发现问题后</w:t>
      </w:r>
      <w:r>
        <w:rPr>
          <w:rFonts w:hint="eastAsia" w:ascii="宋体" w:hAnsi="宋体" w:cs="宋体"/>
          <w:color w:val="000000"/>
          <w:highlight w:val="none"/>
          <w:u w:val="single"/>
        </w:rPr>
        <w:t>3</w:t>
      </w:r>
      <w:r>
        <w:rPr>
          <w:rFonts w:hint="eastAsia" w:ascii="宋体" w:hAnsi="宋体" w:cs="宋体"/>
          <w:color w:val="000000"/>
          <w:highlight w:val="none"/>
        </w:rPr>
        <w:t>个工作日内解决且令甲方满意。</w:t>
      </w:r>
    </w:p>
    <w:p>
      <w:pPr>
        <w:numPr>
          <w:ilvl w:val="0"/>
          <w:numId w:val="9"/>
        </w:numPr>
        <w:spacing w:before="156" w:line="360" w:lineRule="exact"/>
        <w:rPr>
          <w:rFonts w:hint="eastAsia" w:ascii="宋体" w:hAnsi="宋体" w:cs="宋体"/>
          <w:color w:val="000000"/>
          <w:highlight w:val="none"/>
        </w:rPr>
      </w:pPr>
      <w:r>
        <w:rPr>
          <w:rFonts w:hint="eastAsia" w:ascii="宋体" w:hAnsi="宋体" w:cs="宋体"/>
          <w:color w:val="000000"/>
          <w:highlight w:val="none"/>
        </w:rPr>
        <w:t>非</w:t>
      </w:r>
      <w:r>
        <w:rPr>
          <w:rFonts w:ascii="宋体" w:hAnsi="宋体" w:cs="宋体"/>
          <w:color w:val="000000"/>
          <w:highlight w:val="none"/>
        </w:rPr>
        <w:t>甲方原因，所有上线前的安装工作须</w:t>
      </w:r>
      <w:r>
        <w:rPr>
          <w:rFonts w:hint="eastAsia" w:ascii="宋体" w:hAnsi="宋体" w:cs="宋体"/>
          <w:color w:val="000000"/>
          <w:highlight w:val="none"/>
        </w:rPr>
        <w:t>按照合同要求</w:t>
      </w:r>
      <w:r>
        <w:rPr>
          <w:rFonts w:ascii="宋体" w:hAnsi="宋体" w:cs="宋体"/>
          <w:color w:val="000000"/>
          <w:highlight w:val="none"/>
        </w:rPr>
        <w:t>完成</w:t>
      </w:r>
      <w:r>
        <w:rPr>
          <w:rFonts w:hint="eastAsia" w:ascii="宋体" w:hAnsi="宋体" w:cs="宋体"/>
          <w:color w:val="000000"/>
          <w:highlight w:val="none"/>
        </w:rPr>
        <w:t>，</w:t>
      </w:r>
      <w:r>
        <w:rPr>
          <w:rFonts w:ascii="宋体" w:hAnsi="宋体" w:cs="宋体"/>
          <w:color w:val="000000"/>
          <w:highlight w:val="none"/>
        </w:rPr>
        <w:t>否则</w:t>
      </w:r>
      <w:r>
        <w:rPr>
          <w:rFonts w:hint="eastAsia" w:ascii="宋体" w:hAnsi="宋体" w:cs="宋体"/>
          <w:color w:val="000000"/>
          <w:highlight w:val="none"/>
        </w:rPr>
        <w:t>视为乙方违约，按照本合同第七款第一条“乙方</w:t>
      </w:r>
      <w:r>
        <w:rPr>
          <w:rFonts w:ascii="宋体" w:hAnsi="宋体" w:cs="宋体"/>
          <w:color w:val="000000"/>
          <w:highlight w:val="none"/>
        </w:rPr>
        <w:t>违约责任”</w:t>
      </w:r>
      <w:r>
        <w:rPr>
          <w:rFonts w:hint="eastAsia" w:ascii="宋体" w:hAnsi="宋体" w:cs="宋体"/>
          <w:color w:val="000000"/>
          <w:highlight w:val="none"/>
        </w:rPr>
        <w:t>第（</w:t>
      </w:r>
      <w:r>
        <w:rPr>
          <w:rFonts w:ascii="宋体" w:hAnsi="宋体" w:cs="宋体"/>
          <w:color w:val="000000"/>
          <w:highlight w:val="none"/>
        </w:rPr>
        <w:t>1</w:t>
      </w:r>
      <w:r>
        <w:rPr>
          <w:rFonts w:hint="eastAsia" w:ascii="宋体" w:hAnsi="宋体" w:cs="宋体"/>
          <w:color w:val="000000"/>
          <w:highlight w:val="none"/>
        </w:rPr>
        <w:t>）项约定处罚。</w:t>
      </w:r>
    </w:p>
    <w:p>
      <w:pPr>
        <w:numPr>
          <w:ilvl w:val="0"/>
          <w:numId w:val="9"/>
        </w:numPr>
        <w:spacing w:before="156" w:line="360" w:lineRule="exact"/>
        <w:rPr>
          <w:rFonts w:ascii="宋体" w:hAnsi="宋体" w:cs="宋体"/>
          <w:color w:val="000000"/>
          <w:highlight w:val="none"/>
        </w:rPr>
      </w:pPr>
      <w:r>
        <w:rPr>
          <w:rFonts w:hint="eastAsia" w:ascii="宋体" w:hAnsi="宋体" w:cs="宋体"/>
          <w:color w:val="000000"/>
          <w:highlight w:val="none"/>
        </w:rPr>
        <w:t>甲方不得无故拖延验收过程，或者对设备及其安装过程提出超出本合同之外的其他不合理要求，若因此造成逾期付款，视为甲方违约，按照本合同第七款第二条“甲方</w:t>
      </w:r>
      <w:r>
        <w:rPr>
          <w:rFonts w:ascii="宋体" w:hAnsi="宋体" w:cs="宋体"/>
          <w:color w:val="000000"/>
          <w:highlight w:val="none"/>
        </w:rPr>
        <w:t>违约责任”</w:t>
      </w:r>
      <w:r>
        <w:rPr>
          <w:rFonts w:hint="eastAsia" w:ascii="宋体" w:hAnsi="宋体" w:cs="宋体"/>
          <w:color w:val="000000"/>
          <w:highlight w:val="none"/>
        </w:rPr>
        <w:t>第（</w:t>
      </w:r>
      <w:r>
        <w:rPr>
          <w:rFonts w:ascii="宋体" w:hAnsi="宋体" w:cs="宋体"/>
          <w:color w:val="000000"/>
          <w:highlight w:val="none"/>
        </w:rPr>
        <w:t>1</w:t>
      </w:r>
      <w:r>
        <w:rPr>
          <w:rFonts w:hint="eastAsia" w:ascii="宋体" w:hAnsi="宋体" w:cs="宋体"/>
          <w:color w:val="000000"/>
          <w:highlight w:val="none"/>
        </w:rPr>
        <w:t>）项约定处罚。</w:t>
      </w:r>
    </w:p>
    <w:p>
      <w:pPr>
        <w:numPr>
          <w:ilvl w:val="0"/>
          <w:numId w:val="9"/>
        </w:numPr>
        <w:spacing w:before="156" w:line="360" w:lineRule="exact"/>
        <w:rPr>
          <w:rFonts w:ascii="宋体" w:hAnsi="宋体" w:cs="宋体"/>
          <w:color w:val="000000"/>
          <w:highlight w:val="none"/>
        </w:rPr>
      </w:pPr>
      <w:r>
        <w:rPr>
          <w:rFonts w:hint="eastAsia" w:ascii="宋体" w:hAnsi="宋体" w:cs="宋体"/>
          <w:color w:val="000000"/>
          <w:highlight w:val="none"/>
        </w:rPr>
        <w:t>甲方的验收签字人应为甲方指定的联系人，若为其他人签字视为无效。</w:t>
      </w:r>
    </w:p>
    <w:p>
      <w:pPr>
        <w:tabs>
          <w:tab w:val="left" w:pos="3510"/>
        </w:tabs>
        <w:spacing w:before="100" w:beforeAutospacing="1" w:after="100" w:afterAutospacing="1" w:line="460" w:lineRule="exact"/>
        <w:ind w:left="720" w:hanging="720"/>
        <w:outlineLvl w:val="0"/>
        <w:rPr>
          <w:rFonts w:ascii="宋体" w:hAnsi="宋体" w:cs="宋体"/>
          <w:b/>
          <w:bCs/>
          <w:highlight w:val="none"/>
        </w:rPr>
      </w:pPr>
      <w:r>
        <w:rPr>
          <w:rFonts w:hint="eastAsia" w:ascii="宋体" w:hAnsi="宋体" w:cs="宋体"/>
          <w:b/>
          <w:bCs/>
          <w:highlight w:val="none"/>
        </w:rPr>
        <w:t>七</w:t>
      </w:r>
      <w:r>
        <w:rPr>
          <w:rFonts w:hint="eastAsia" w:ascii="宋体" w:hAnsi="宋体" w:cs="宋体"/>
          <w:highlight w:val="none"/>
        </w:rPr>
        <w:t>、</w:t>
      </w:r>
      <w:r>
        <w:rPr>
          <w:rFonts w:hint="eastAsia" w:ascii="宋体" w:hAnsi="宋体" w:cs="宋体"/>
          <w:b/>
          <w:bCs/>
          <w:highlight w:val="none"/>
        </w:rPr>
        <w:t>违约责任</w:t>
      </w:r>
    </w:p>
    <w:p>
      <w:pPr>
        <w:spacing w:before="156" w:line="360" w:lineRule="exact"/>
        <w:ind w:left="420"/>
        <w:rPr>
          <w:rFonts w:ascii="宋体" w:hAnsi="宋体" w:cs="宋体"/>
          <w:highlight w:val="none"/>
        </w:rPr>
      </w:pPr>
      <w:r>
        <w:rPr>
          <w:rFonts w:ascii="宋体" w:hAnsi="宋体" w:cs="宋体"/>
          <w:highlight w:val="none"/>
        </w:rPr>
        <w:t>1</w:t>
      </w:r>
      <w:r>
        <w:rPr>
          <w:rFonts w:hint="eastAsia" w:ascii="宋体" w:hAnsi="宋体" w:cs="宋体"/>
          <w:highlight w:val="none"/>
        </w:rPr>
        <w:t>、乙方违约责任</w:t>
      </w:r>
    </w:p>
    <w:p>
      <w:pPr>
        <w:spacing w:before="156" w:line="360" w:lineRule="exact"/>
        <w:ind w:left="420"/>
        <w:rPr>
          <w:rFonts w:ascii="宋体" w:hAnsi="宋体" w:cs="宋体"/>
          <w:highlight w:val="none"/>
        </w:rPr>
      </w:pPr>
      <w:r>
        <w:rPr>
          <w:rFonts w:hint="eastAsia" w:ascii="宋体" w:hAnsi="宋体" w:cs="宋体"/>
          <w:highlight w:val="none"/>
        </w:rPr>
        <w:t>（</w:t>
      </w:r>
      <w:r>
        <w:rPr>
          <w:rFonts w:ascii="宋体" w:hAnsi="宋体" w:cs="宋体"/>
          <w:highlight w:val="none"/>
        </w:rPr>
        <w:t>1</w:t>
      </w:r>
      <w:r>
        <w:rPr>
          <w:rFonts w:hint="eastAsia" w:ascii="宋体" w:hAnsi="宋体" w:cs="宋体"/>
          <w:highlight w:val="none"/>
        </w:rPr>
        <w:t>）乙方逾期交货或者</w:t>
      </w:r>
      <w:r>
        <w:rPr>
          <w:rFonts w:hint="eastAsia" w:ascii="宋体" w:hAnsi="宋体" w:cs="宋体"/>
          <w:highlight w:val="none"/>
          <w:lang w:eastAsia="zh-CN"/>
        </w:rPr>
        <w:t>原厂</w:t>
      </w:r>
      <w:r>
        <w:rPr>
          <w:rFonts w:hint="eastAsia" w:ascii="宋体" w:hAnsi="宋体" w:cs="宋体"/>
          <w:highlight w:val="none"/>
        </w:rPr>
        <w:t>逾期完成安装集成工作的（所供货物与需求不符或者不能满足本合同第二款、第五款所规定的要求且在合同约定的期限内未能纠正的；或者</w:t>
      </w:r>
      <w:r>
        <w:rPr>
          <w:rFonts w:ascii="宋体" w:hAnsi="宋体" w:cs="宋体"/>
          <w:highlight w:val="none"/>
        </w:rPr>
        <w:t>在合同执行过程中，</w:t>
      </w:r>
      <w:r>
        <w:rPr>
          <w:rFonts w:hint="eastAsia" w:ascii="宋体" w:hAnsi="宋体" w:cs="宋体"/>
          <w:highlight w:val="none"/>
        </w:rPr>
        <w:t>附件中</w:t>
      </w:r>
      <w:r>
        <w:rPr>
          <w:rFonts w:ascii="宋体" w:hAnsi="宋体" w:cs="宋体"/>
          <w:highlight w:val="none"/>
        </w:rPr>
        <w:t>的</w:t>
      </w:r>
      <w:r>
        <w:rPr>
          <w:rFonts w:hint="eastAsia" w:ascii="宋体" w:hAnsi="宋体" w:cs="宋体"/>
          <w:highlight w:val="none"/>
        </w:rPr>
        <w:t>其他要求</w:t>
      </w:r>
      <w:r>
        <w:rPr>
          <w:rFonts w:ascii="宋体" w:hAnsi="宋体" w:cs="宋体"/>
          <w:highlight w:val="none"/>
        </w:rPr>
        <w:t>未能满足且在</w:t>
      </w:r>
      <w:r>
        <w:rPr>
          <w:rFonts w:hint="eastAsia" w:ascii="宋体" w:hAnsi="宋体" w:cs="宋体"/>
          <w:highlight w:val="none"/>
          <w:u w:val="single"/>
        </w:rPr>
        <w:t xml:space="preserve"> 3</w:t>
      </w:r>
      <w:r>
        <w:rPr>
          <w:rFonts w:ascii="宋体" w:hAnsi="宋体" w:cs="宋体"/>
          <w:highlight w:val="none"/>
          <w:u w:val="single"/>
        </w:rPr>
        <w:t xml:space="preserve"> </w:t>
      </w:r>
      <w:r>
        <w:rPr>
          <w:rFonts w:ascii="宋体" w:hAnsi="宋体" w:cs="宋体"/>
          <w:highlight w:val="none"/>
        </w:rPr>
        <w:t>个工作日内未能解决的</w:t>
      </w:r>
      <w:r>
        <w:rPr>
          <w:rFonts w:hint="eastAsia" w:ascii="宋体" w:hAnsi="宋体" w:cs="宋体"/>
          <w:color w:val="000000"/>
          <w:highlight w:val="none"/>
        </w:rPr>
        <w:t>且令甲方满意的</w:t>
      </w:r>
      <w:r>
        <w:rPr>
          <w:rFonts w:hint="eastAsia" w:ascii="宋体" w:hAnsi="宋体" w:cs="宋体"/>
          <w:highlight w:val="none"/>
        </w:rPr>
        <w:t>），甲方</w:t>
      </w:r>
      <w:r>
        <w:rPr>
          <w:rFonts w:ascii="宋体" w:hAnsi="宋体" w:cs="宋体"/>
          <w:highlight w:val="none"/>
        </w:rPr>
        <w:t>有权要求</w:t>
      </w:r>
      <w:r>
        <w:rPr>
          <w:rFonts w:hint="eastAsia" w:ascii="宋体" w:hAnsi="宋体" w:cs="宋体"/>
          <w:highlight w:val="none"/>
        </w:rPr>
        <w:t>乙方每日按合同总金额的百分之一向甲方支付违约金。所有违约金最高不超过合同总金额的</w:t>
      </w:r>
      <w:r>
        <w:rPr>
          <w:rFonts w:ascii="宋体" w:hAnsi="宋体" w:cs="宋体"/>
          <w:highlight w:val="none"/>
          <w:u w:val="single"/>
        </w:rPr>
        <w:t xml:space="preserve"> 20% </w:t>
      </w:r>
      <w:r>
        <w:rPr>
          <w:rFonts w:hint="eastAsia" w:ascii="宋体" w:hAnsi="宋体" w:cs="宋体"/>
          <w:highlight w:val="none"/>
        </w:rPr>
        <w:t>。乙方逾期</w:t>
      </w:r>
      <w:r>
        <w:rPr>
          <w:rFonts w:hint="eastAsia" w:ascii="宋体" w:hAnsi="宋体" w:cs="宋体"/>
          <w:highlight w:val="none"/>
          <w:u w:val="single"/>
        </w:rPr>
        <w:t xml:space="preserve"> </w:t>
      </w:r>
      <w:r>
        <w:rPr>
          <w:rFonts w:ascii="宋体" w:hAnsi="宋体" w:cs="宋体"/>
          <w:highlight w:val="none"/>
          <w:u w:val="single"/>
        </w:rPr>
        <w:t>20</w:t>
      </w:r>
      <w:r>
        <w:rPr>
          <w:rFonts w:hint="eastAsia" w:ascii="宋体" w:hAnsi="宋体" w:cs="宋体"/>
          <w:highlight w:val="none"/>
          <w:u w:val="single"/>
        </w:rPr>
        <w:t xml:space="preserve"> </w:t>
      </w:r>
      <w:r>
        <w:rPr>
          <w:rFonts w:hint="eastAsia" w:ascii="宋体" w:hAnsi="宋体" w:cs="宋体"/>
          <w:highlight w:val="none"/>
        </w:rPr>
        <w:t>个工作日仍未能交付全部货物并验收通过的，或者</w:t>
      </w:r>
      <w:r>
        <w:rPr>
          <w:rFonts w:hint="eastAsia" w:ascii="宋体" w:hAnsi="宋体" w:cs="宋体"/>
          <w:highlight w:val="none"/>
          <w:lang w:eastAsia="zh-CN"/>
        </w:rPr>
        <w:t>原厂</w:t>
      </w:r>
      <w:r>
        <w:rPr>
          <w:rFonts w:hint="eastAsia" w:ascii="宋体" w:hAnsi="宋体" w:cs="宋体"/>
          <w:highlight w:val="none"/>
        </w:rPr>
        <w:t>逾期</w:t>
      </w:r>
      <w:r>
        <w:rPr>
          <w:rFonts w:hint="eastAsia" w:ascii="宋体" w:hAnsi="宋体" w:cs="宋体"/>
          <w:highlight w:val="none"/>
          <w:u w:val="single"/>
        </w:rPr>
        <w:t xml:space="preserve"> </w:t>
      </w:r>
      <w:r>
        <w:rPr>
          <w:rFonts w:ascii="宋体" w:hAnsi="宋体" w:cs="宋体"/>
          <w:highlight w:val="none"/>
          <w:u w:val="single"/>
        </w:rPr>
        <w:t>20</w:t>
      </w:r>
      <w:r>
        <w:rPr>
          <w:rFonts w:hint="eastAsia" w:ascii="宋体" w:hAnsi="宋体" w:cs="宋体"/>
          <w:highlight w:val="none"/>
          <w:u w:val="single"/>
        </w:rPr>
        <w:t xml:space="preserve"> </w:t>
      </w:r>
      <w:r>
        <w:rPr>
          <w:rFonts w:hint="eastAsia" w:ascii="宋体" w:hAnsi="宋体" w:cs="宋体"/>
          <w:highlight w:val="none"/>
        </w:rPr>
        <w:t>个工作日仍未能按照合同约定完成安装集成工作的，甲方有权解除合同，并按照</w:t>
      </w:r>
      <w:r>
        <w:rPr>
          <w:rFonts w:hint="eastAsia" w:ascii="宋体" w:hAnsi="宋体" w:cs="宋体"/>
          <w:highlight w:val="none"/>
          <w:u w:val="single"/>
        </w:rPr>
        <w:t xml:space="preserve"> </w:t>
      </w:r>
      <w:r>
        <w:rPr>
          <w:rFonts w:ascii="宋体" w:hAnsi="宋体" w:cs="宋体"/>
          <w:highlight w:val="none"/>
          <w:u w:val="single"/>
        </w:rPr>
        <w:t>1.2</w:t>
      </w:r>
      <w:r>
        <w:rPr>
          <w:rFonts w:hint="eastAsia" w:ascii="宋体" w:hAnsi="宋体" w:cs="宋体"/>
          <w:highlight w:val="none"/>
          <w:u w:val="single"/>
        </w:rPr>
        <w:t xml:space="preserve"> </w:t>
      </w:r>
      <w:r>
        <w:rPr>
          <w:rFonts w:hint="eastAsia" w:ascii="宋体" w:hAnsi="宋体" w:cs="宋体"/>
          <w:highlight w:val="none"/>
        </w:rPr>
        <w:t>倍金额收回已交付乙方的款项，由此给甲方造成其他损失的，乙方应承担赔偿责任。</w:t>
      </w:r>
    </w:p>
    <w:p>
      <w:pPr>
        <w:spacing w:before="156" w:line="360" w:lineRule="exact"/>
        <w:ind w:left="420"/>
        <w:rPr>
          <w:rFonts w:ascii="宋体" w:hAnsi="宋体" w:cs="宋体"/>
          <w:highlight w:val="none"/>
        </w:rPr>
      </w:pPr>
      <w:r>
        <w:rPr>
          <w:rFonts w:hint="eastAsia" w:ascii="宋体" w:hAnsi="宋体" w:cs="宋体"/>
          <w:highlight w:val="none"/>
        </w:rPr>
        <w:t>（</w:t>
      </w:r>
      <w:r>
        <w:rPr>
          <w:rFonts w:ascii="宋体" w:hAnsi="宋体" w:cs="宋体"/>
          <w:highlight w:val="none"/>
        </w:rPr>
        <w:t>2</w:t>
      </w:r>
      <w:r>
        <w:rPr>
          <w:rFonts w:hint="eastAsia" w:ascii="宋体" w:hAnsi="宋体" w:cs="宋体"/>
          <w:highlight w:val="none"/>
        </w:rPr>
        <w:t>）乙方所交货物的品牌、规格、数量、质量、外包装经确认不符合合同规定的，若甲方同意接受则双方可重新协商合同价款；如果甲方不同意接受，则按照本条第（</w:t>
      </w:r>
      <w:r>
        <w:rPr>
          <w:rFonts w:ascii="宋体" w:hAnsi="宋体" w:cs="宋体"/>
          <w:highlight w:val="none"/>
        </w:rPr>
        <w:t>1</w:t>
      </w:r>
      <w:r>
        <w:rPr>
          <w:rFonts w:hint="eastAsia" w:ascii="宋体" w:hAnsi="宋体" w:cs="宋体"/>
          <w:highlight w:val="none"/>
        </w:rPr>
        <w:t>）项约定执行合同。</w:t>
      </w:r>
    </w:p>
    <w:p>
      <w:pPr>
        <w:spacing w:before="156" w:line="360" w:lineRule="exact"/>
        <w:ind w:left="420"/>
        <w:rPr>
          <w:rFonts w:ascii="宋体" w:hAnsi="宋体" w:cs="宋体"/>
          <w:highlight w:val="none"/>
        </w:rPr>
      </w:pPr>
      <w:r>
        <w:rPr>
          <w:rFonts w:hint="eastAsia" w:ascii="宋体" w:hAnsi="宋体" w:cs="宋体"/>
          <w:highlight w:val="none"/>
        </w:rPr>
        <w:t>（</w:t>
      </w:r>
      <w:r>
        <w:rPr>
          <w:rFonts w:ascii="宋体" w:hAnsi="宋体" w:cs="宋体"/>
          <w:highlight w:val="none"/>
        </w:rPr>
        <w:t>3</w:t>
      </w:r>
      <w:r>
        <w:rPr>
          <w:rFonts w:hint="eastAsia" w:ascii="宋体" w:hAnsi="宋体" w:cs="宋体"/>
          <w:highlight w:val="none"/>
        </w:rPr>
        <w:t>）因可归咎于乙方的原因（如乙方未能将货物送至甲方指定的交货地点），未能按时将货物交付甲方指定地点的，乙方应承担赔偿责任，赔偿方式按照本条第（</w:t>
      </w:r>
      <w:r>
        <w:rPr>
          <w:rFonts w:ascii="宋体" w:hAnsi="宋体" w:cs="宋体"/>
          <w:highlight w:val="none"/>
        </w:rPr>
        <w:t>1</w:t>
      </w:r>
      <w:r>
        <w:rPr>
          <w:rFonts w:hint="eastAsia" w:ascii="宋体" w:hAnsi="宋体" w:cs="宋体"/>
          <w:highlight w:val="none"/>
        </w:rPr>
        <w:t>）项约定执行。</w:t>
      </w:r>
    </w:p>
    <w:p>
      <w:pPr>
        <w:spacing w:before="156" w:line="360" w:lineRule="exact"/>
        <w:ind w:left="420"/>
        <w:rPr>
          <w:rFonts w:hint="eastAsia" w:ascii="宋体" w:hAnsi="宋体" w:cs="宋体"/>
          <w:highlight w:val="none"/>
        </w:rPr>
      </w:pPr>
      <w:r>
        <w:rPr>
          <w:rFonts w:hint="eastAsia" w:ascii="宋体" w:hAnsi="宋体" w:cs="宋体"/>
          <w:highlight w:val="none"/>
        </w:rPr>
        <w:t>（4）乙方无故拒绝交付约定货物的，视为乙方单方违约，乙方应向甲方支付其无故拒绝交付部分的货物金额的</w:t>
      </w:r>
      <w:r>
        <w:rPr>
          <w:rFonts w:hint="eastAsia" w:ascii="宋体" w:hAnsi="宋体" w:cs="宋体"/>
          <w:highlight w:val="none"/>
          <w:u w:val="single"/>
        </w:rPr>
        <w:t xml:space="preserve"> </w:t>
      </w:r>
      <w:r>
        <w:rPr>
          <w:rFonts w:ascii="宋体" w:hAnsi="宋体" w:cs="宋体"/>
          <w:highlight w:val="none"/>
          <w:u w:val="single"/>
        </w:rPr>
        <w:t>20%</w:t>
      </w:r>
      <w:r>
        <w:rPr>
          <w:rFonts w:hint="eastAsia" w:ascii="宋体" w:hAnsi="宋体" w:cs="宋体"/>
          <w:highlight w:val="none"/>
          <w:u w:val="single"/>
        </w:rPr>
        <w:t xml:space="preserve"> </w:t>
      </w:r>
      <w:r>
        <w:rPr>
          <w:rFonts w:hint="eastAsia" w:ascii="宋体" w:hAnsi="宋体" w:cs="宋体"/>
          <w:highlight w:val="none"/>
        </w:rPr>
        <w:t>赔偿甲方，由此给甲方造成其他损失的，乙方应承担赔偿责任。</w:t>
      </w:r>
    </w:p>
    <w:p>
      <w:pPr>
        <w:spacing w:before="156" w:line="360" w:lineRule="exact"/>
        <w:ind w:left="420"/>
        <w:rPr>
          <w:rFonts w:ascii="宋体" w:hAnsi="宋体" w:cs="宋体"/>
          <w:highlight w:val="none"/>
        </w:rPr>
      </w:pPr>
      <w:r>
        <w:rPr>
          <w:rFonts w:hint="eastAsia" w:ascii="宋体" w:hAnsi="宋体" w:cs="宋体"/>
          <w:highlight w:val="none"/>
        </w:rPr>
        <w:t>（</w:t>
      </w:r>
      <w:r>
        <w:rPr>
          <w:rFonts w:ascii="宋体" w:hAnsi="宋体" w:cs="宋体"/>
          <w:highlight w:val="none"/>
        </w:rPr>
        <w:t>5</w:t>
      </w:r>
      <w:r>
        <w:rPr>
          <w:rFonts w:hint="eastAsia" w:ascii="宋体" w:hAnsi="宋体" w:cs="宋体"/>
          <w:highlight w:val="none"/>
        </w:rPr>
        <w:t>）合同执行期间，原厂服务过程中出现不符合SLA条款的情况，甲方通知原厂并要求乙方进行督促，在3个</w:t>
      </w:r>
      <w:r>
        <w:rPr>
          <w:rFonts w:ascii="宋体" w:hAnsi="宋体" w:cs="宋体"/>
          <w:highlight w:val="none"/>
        </w:rPr>
        <w:t>工作日</w:t>
      </w:r>
      <w:r>
        <w:rPr>
          <w:rFonts w:hint="eastAsia" w:ascii="宋体" w:hAnsi="宋体" w:cs="宋体"/>
          <w:highlight w:val="none"/>
        </w:rPr>
        <w:t>内整改，整改后仍不符合相关条款的视为乙方违约。每违约</w:t>
      </w:r>
      <w:r>
        <w:rPr>
          <w:rFonts w:ascii="宋体" w:hAnsi="宋体" w:cs="宋体"/>
          <w:highlight w:val="none"/>
        </w:rPr>
        <w:t>1</w:t>
      </w:r>
      <w:r>
        <w:rPr>
          <w:rFonts w:hint="eastAsia" w:ascii="宋体" w:hAnsi="宋体" w:cs="宋体"/>
          <w:highlight w:val="none"/>
        </w:rPr>
        <w:t>次，需支付合同金额1%的违约金。</w:t>
      </w:r>
    </w:p>
    <w:p>
      <w:pPr>
        <w:spacing w:before="156" w:line="360" w:lineRule="exact"/>
        <w:ind w:left="420"/>
        <w:rPr>
          <w:rFonts w:hint="eastAsia" w:ascii="宋体" w:hAnsi="宋体" w:cs="宋体"/>
          <w:highlight w:val="none"/>
        </w:rPr>
      </w:pPr>
      <w:r>
        <w:rPr>
          <w:rFonts w:hint="eastAsia" w:ascii="宋体" w:hAnsi="宋体" w:cs="宋体"/>
          <w:highlight w:val="none"/>
        </w:rPr>
        <w:t>（</w:t>
      </w:r>
      <w:r>
        <w:rPr>
          <w:rFonts w:ascii="宋体" w:hAnsi="宋体" w:cs="宋体"/>
          <w:highlight w:val="none"/>
        </w:rPr>
        <w:t>6</w:t>
      </w:r>
      <w:r>
        <w:rPr>
          <w:rFonts w:hint="eastAsia" w:ascii="宋体" w:hAnsi="宋体" w:cs="宋体"/>
          <w:highlight w:val="none"/>
        </w:rPr>
        <w:t>）乙方在本项目招标过程中如有参与围标、串标或陪标等舞弊或作假行为的，一经甲方核实则构成违约，乙方应承担本合同总额20%的违约金并返还甲方已支付的全部合同款项。同时，甲方有权终止本合同。若造成甲方其他损失，乙方须进行赔付。</w:t>
      </w:r>
    </w:p>
    <w:p>
      <w:pPr>
        <w:spacing w:before="156" w:line="360" w:lineRule="exact"/>
        <w:ind w:left="420"/>
        <w:rPr>
          <w:rFonts w:ascii="宋体" w:hAnsi="宋体" w:cs="宋体"/>
          <w:highlight w:val="none"/>
        </w:rPr>
      </w:pPr>
      <w:r>
        <w:rPr>
          <w:rFonts w:ascii="宋体" w:hAnsi="宋体" w:cs="宋体"/>
          <w:highlight w:val="none"/>
        </w:rPr>
        <w:t>2</w:t>
      </w:r>
      <w:r>
        <w:rPr>
          <w:rFonts w:hint="eastAsia" w:ascii="宋体" w:hAnsi="宋体" w:cs="宋体"/>
          <w:highlight w:val="none"/>
        </w:rPr>
        <w:t>、甲方违约责任</w:t>
      </w:r>
    </w:p>
    <w:p>
      <w:pPr>
        <w:spacing w:before="156" w:line="360" w:lineRule="exact"/>
        <w:ind w:left="420"/>
        <w:rPr>
          <w:rFonts w:ascii="宋体" w:hAnsi="宋体" w:cs="宋体"/>
          <w:highlight w:val="none"/>
        </w:rPr>
      </w:pPr>
      <w:r>
        <w:rPr>
          <w:rFonts w:hint="eastAsia" w:ascii="宋体" w:hAnsi="宋体" w:cs="宋体"/>
          <w:highlight w:val="none"/>
        </w:rPr>
        <w:t>（</w:t>
      </w:r>
      <w:r>
        <w:rPr>
          <w:rFonts w:ascii="宋体" w:hAnsi="宋体" w:cs="宋体"/>
          <w:highlight w:val="none"/>
        </w:rPr>
        <w:t>1</w:t>
      </w:r>
      <w:r>
        <w:rPr>
          <w:rFonts w:hint="eastAsia" w:ascii="宋体" w:hAnsi="宋体" w:cs="宋体"/>
          <w:highlight w:val="none"/>
        </w:rPr>
        <w:t>）甲方无正当理由逾期付款的，每逾期一日须按合同总金额的万分之三的标准向乙方支付违约金。此项违约金最高不超过合同总金额的20%。甲方逾期付款且经乙方书面催讨后</w:t>
      </w:r>
      <w:r>
        <w:rPr>
          <w:rFonts w:ascii="宋体" w:hAnsi="宋体" w:cs="宋体"/>
          <w:highlight w:val="none"/>
        </w:rPr>
        <w:t>30</w:t>
      </w:r>
      <w:r>
        <w:rPr>
          <w:rFonts w:hint="eastAsia" w:ascii="宋体" w:hAnsi="宋体" w:cs="宋体"/>
          <w:highlight w:val="none"/>
        </w:rPr>
        <w:t>日仍未能支付合同规定款项的，乙方有权解除合同，并有权不返还甲方已支付款项。</w:t>
      </w:r>
    </w:p>
    <w:p>
      <w:pPr>
        <w:spacing w:before="156" w:line="360" w:lineRule="exact"/>
        <w:ind w:left="420"/>
        <w:rPr>
          <w:rFonts w:ascii="宋体" w:hAnsi="宋体" w:cs="宋体"/>
          <w:highlight w:val="none"/>
        </w:rPr>
      </w:pPr>
      <w:r>
        <w:rPr>
          <w:rFonts w:hint="eastAsia" w:ascii="宋体" w:hAnsi="宋体" w:cs="宋体"/>
          <w:highlight w:val="none"/>
        </w:rPr>
        <w:t>（</w:t>
      </w:r>
      <w:r>
        <w:rPr>
          <w:rFonts w:ascii="宋体" w:hAnsi="宋体" w:cs="宋体"/>
          <w:highlight w:val="none"/>
        </w:rPr>
        <w:t>2</w:t>
      </w:r>
      <w:r>
        <w:rPr>
          <w:rFonts w:hint="eastAsia" w:ascii="宋体" w:hAnsi="宋体" w:cs="宋体"/>
          <w:highlight w:val="none"/>
        </w:rPr>
        <w:t>）甲方无故拒绝接受符合合同约定货物的（包括甲方中途退货），视为甲方单方违约，乙方</w:t>
      </w:r>
      <w:r>
        <w:rPr>
          <w:rFonts w:ascii="宋体" w:hAnsi="宋体" w:cs="宋体"/>
          <w:highlight w:val="none"/>
        </w:rPr>
        <w:t>有权要求</w:t>
      </w:r>
      <w:r>
        <w:rPr>
          <w:rFonts w:hint="eastAsia" w:ascii="宋体" w:hAnsi="宋体" w:cs="宋体"/>
          <w:highlight w:val="none"/>
        </w:rPr>
        <w:t>甲方向乙方支付其无故拒绝接受部分（或中途退货部分）货物金额的</w:t>
      </w:r>
      <w:r>
        <w:rPr>
          <w:rFonts w:hint="eastAsia" w:ascii="宋体" w:hAnsi="宋体" w:cs="宋体"/>
          <w:highlight w:val="none"/>
          <w:u w:val="single"/>
        </w:rPr>
        <w:t xml:space="preserve"> </w:t>
      </w:r>
      <w:r>
        <w:rPr>
          <w:rFonts w:ascii="宋体" w:hAnsi="宋体" w:cs="宋体"/>
          <w:highlight w:val="none"/>
          <w:u w:val="single"/>
        </w:rPr>
        <w:t>20%</w:t>
      </w:r>
      <w:r>
        <w:rPr>
          <w:rFonts w:hint="eastAsia" w:ascii="宋体" w:hAnsi="宋体" w:cs="宋体"/>
          <w:highlight w:val="none"/>
          <w:u w:val="single"/>
        </w:rPr>
        <w:t xml:space="preserve"> </w:t>
      </w:r>
      <w:r>
        <w:rPr>
          <w:rFonts w:hint="eastAsia" w:ascii="宋体" w:hAnsi="宋体" w:cs="宋体"/>
          <w:highlight w:val="none"/>
        </w:rPr>
        <w:t>赔偿乙方。</w:t>
      </w:r>
    </w:p>
    <w:p>
      <w:pPr>
        <w:spacing w:before="156" w:line="360" w:lineRule="exact"/>
        <w:ind w:left="420"/>
        <w:rPr>
          <w:rFonts w:hint="eastAsia" w:ascii="宋体" w:hAnsi="宋体" w:cs="宋体"/>
          <w:highlight w:val="none"/>
        </w:rPr>
      </w:pPr>
      <w:r>
        <w:rPr>
          <w:rFonts w:hint="eastAsia" w:ascii="宋体" w:hAnsi="宋体" w:cs="宋体"/>
          <w:highlight w:val="none"/>
        </w:rPr>
        <w:t>（</w:t>
      </w:r>
      <w:r>
        <w:rPr>
          <w:rFonts w:ascii="宋体" w:hAnsi="宋体" w:cs="宋体"/>
          <w:highlight w:val="none"/>
        </w:rPr>
        <w:t>3</w:t>
      </w:r>
      <w:r>
        <w:rPr>
          <w:rFonts w:hint="eastAsia" w:ascii="宋体" w:hAnsi="宋体" w:cs="宋体"/>
          <w:highlight w:val="none"/>
        </w:rPr>
        <w:t>）因可归咎于甲方的原因（如因甲方错误告知交货地点和接货人，致使乙方无法按时送达），由此给乙方造成损失，甲方应承担赔偿责任。</w:t>
      </w:r>
    </w:p>
    <w:p>
      <w:pPr>
        <w:spacing w:before="156" w:line="360" w:lineRule="exact"/>
        <w:ind w:left="420"/>
        <w:rPr>
          <w:rFonts w:ascii="宋体" w:hAnsi="宋体" w:cs="宋体"/>
          <w:highlight w:val="none"/>
        </w:rPr>
      </w:pPr>
      <w:r>
        <w:rPr>
          <w:rFonts w:hint="eastAsia" w:ascii="宋体" w:hAnsi="宋体" w:cs="宋体"/>
          <w:highlight w:val="none"/>
        </w:rPr>
        <w:t>3、违约金支付：所有一方向另一方支付的违约金须在违约发生后</w:t>
      </w:r>
      <w:r>
        <w:rPr>
          <w:rFonts w:hint="eastAsia" w:ascii="宋体" w:hAnsi="宋体" w:cs="宋体"/>
          <w:highlight w:val="none"/>
          <w:lang w:val="en-US" w:eastAsia="zh-CN"/>
        </w:rPr>
        <w:t>2</w:t>
      </w:r>
      <w:r>
        <w:rPr>
          <w:rFonts w:ascii="宋体" w:hAnsi="宋体" w:cs="宋体"/>
          <w:highlight w:val="none"/>
        </w:rPr>
        <w:t>0</w:t>
      </w:r>
      <w:r>
        <w:rPr>
          <w:rFonts w:hint="eastAsia" w:ascii="宋体" w:hAnsi="宋体" w:cs="宋体"/>
          <w:highlight w:val="none"/>
        </w:rPr>
        <w:t>个工作日内支付。乙方违约后甲方收回已支付款项的支付方式照此办理。</w:t>
      </w:r>
    </w:p>
    <w:p>
      <w:pPr>
        <w:tabs>
          <w:tab w:val="left" w:pos="3510"/>
        </w:tabs>
        <w:spacing w:before="100" w:beforeAutospacing="1" w:after="100" w:afterAutospacing="1" w:line="460" w:lineRule="exact"/>
        <w:ind w:left="720" w:hanging="720"/>
        <w:outlineLvl w:val="0"/>
        <w:rPr>
          <w:rFonts w:ascii="宋体" w:hAnsi="宋体" w:cs="宋体"/>
          <w:highlight w:val="none"/>
        </w:rPr>
      </w:pPr>
      <w:r>
        <w:rPr>
          <w:rFonts w:hint="eastAsia" w:ascii="宋体" w:hAnsi="宋体" w:cs="宋体"/>
          <w:b/>
          <w:bCs/>
          <w:highlight w:val="none"/>
        </w:rPr>
        <w:t>八、货物保管风险的转移</w:t>
      </w:r>
    </w:p>
    <w:p>
      <w:pPr>
        <w:pStyle w:val="11"/>
        <w:keepNext w:val="0"/>
        <w:keepLines w:val="0"/>
        <w:pageBreakBefore w:val="0"/>
        <w:widowControl w:val="0"/>
        <w:kinsoku/>
        <w:wordWrap/>
        <w:overflowPunct/>
        <w:topLinePunct w:val="0"/>
        <w:autoSpaceDE/>
        <w:autoSpaceDN/>
        <w:bidi w:val="0"/>
        <w:adjustRightInd w:val="0"/>
        <w:snapToGrid/>
        <w:spacing w:line="360" w:lineRule="exact"/>
        <w:ind w:left="0" w:firstLine="420" w:firstLineChars="200"/>
        <w:textAlignment w:val="baseline"/>
        <w:rPr>
          <w:rFonts w:hint="eastAsia" w:ascii="宋体" w:hAnsi="宋体" w:eastAsia="宋体" w:cs="宋体"/>
          <w:color w:val="000000"/>
          <w:highlight w:val="none"/>
        </w:rPr>
      </w:pPr>
      <w:r>
        <w:rPr>
          <w:rFonts w:hint="eastAsia" w:ascii="宋体" w:hAnsi="宋体" w:eastAsia="宋体" w:cs="宋体"/>
          <w:color w:val="000000"/>
          <w:highlight w:val="none"/>
        </w:rPr>
        <w:t>货物到达本合同约定的交货地点之前，货物保管风险由乙方承担；货物到达本合同约定的交货地点之后，货物保管风险由甲方承担，乙方不再承担任何保管责任。</w:t>
      </w:r>
    </w:p>
    <w:p>
      <w:pPr>
        <w:tabs>
          <w:tab w:val="left" w:pos="3510"/>
        </w:tabs>
        <w:spacing w:before="100" w:beforeAutospacing="1" w:after="100" w:afterAutospacing="1" w:line="460" w:lineRule="exact"/>
        <w:ind w:left="720" w:hanging="720"/>
        <w:outlineLvl w:val="0"/>
        <w:rPr>
          <w:rFonts w:ascii="宋体" w:hAnsi="宋体" w:cs="宋体"/>
          <w:b/>
          <w:bCs/>
          <w:highlight w:val="none"/>
        </w:rPr>
      </w:pPr>
      <w:r>
        <w:rPr>
          <w:rFonts w:hint="eastAsia" w:ascii="宋体" w:hAnsi="宋体" w:cs="宋体"/>
          <w:b/>
          <w:bCs/>
          <w:highlight w:val="none"/>
        </w:rPr>
        <w:t>九、服务条款</w:t>
      </w:r>
    </w:p>
    <w:p>
      <w:pPr>
        <w:pStyle w:val="11"/>
        <w:keepNext w:val="0"/>
        <w:keepLines w:val="0"/>
        <w:pageBreakBefore w:val="0"/>
        <w:widowControl w:val="0"/>
        <w:kinsoku/>
        <w:wordWrap/>
        <w:overflowPunct/>
        <w:topLinePunct w:val="0"/>
        <w:autoSpaceDE/>
        <w:autoSpaceDN/>
        <w:bidi w:val="0"/>
        <w:adjustRightInd w:val="0"/>
        <w:snapToGrid/>
        <w:spacing w:line="360" w:lineRule="exact"/>
        <w:ind w:left="0" w:firstLine="420" w:firstLineChars="200"/>
        <w:textAlignment w:val="baseline"/>
        <w:rPr>
          <w:rFonts w:hint="eastAsia" w:ascii="宋体" w:hAnsi="宋体" w:eastAsia="宋体" w:cs="宋体"/>
          <w:color w:val="000000"/>
          <w:highlight w:val="none"/>
        </w:rPr>
      </w:pPr>
      <w:r>
        <w:rPr>
          <w:rFonts w:hint="eastAsia" w:ascii="宋体" w:hAnsi="宋体" w:eastAsia="宋体" w:cs="宋体"/>
          <w:color w:val="000000"/>
          <w:highlight w:val="none"/>
        </w:rPr>
        <w:t>本合同附件所列货物，乙方根据需求情况进行服务，本合同另有其他约定的以其他约定为准。</w:t>
      </w:r>
    </w:p>
    <w:p>
      <w:pPr>
        <w:tabs>
          <w:tab w:val="left" w:pos="3510"/>
        </w:tabs>
        <w:spacing w:before="100" w:beforeAutospacing="1" w:after="100" w:afterAutospacing="1" w:line="460" w:lineRule="exact"/>
        <w:ind w:left="720" w:hanging="720"/>
        <w:outlineLvl w:val="0"/>
        <w:rPr>
          <w:rFonts w:ascii="宋体" w:hAnsi="宋体" w:cs="宋体"/>
          <w:b/>
          <w:bCs/>
          <w:highlight w:val="none"/>
        </w:rPr>
      </w:pPr>
      <w:r>
        <w:rPr>
          <w:rFonts w:hint="eastAsia" w:ascii="宋体" w:hAnsi="宋体" w:cs="宋体"/>
          <w:b/>
          <w:bCs/>
          <w:highlight w:val="none"/>
        </w:rPr>
        <w:t>十、不可抗力</w:t>
      </w:r>
    </w:p>
    <w:p>
      <w:pPr>
        <w:pStyle w:val="11"/>
        <w:keepNext w:val="0"/>
        <w:keepLines w:val="0"/>
        <w:pageBreakBefore w:val="0"/>
        <w:widowControl w:val="0"/>
        <w:kinsoku/>
        <w:wordWrap/>
        <w:overflowPunct/>
        <w:topLinePunct w:val="0"/>
        <w:autoSpaceDE/>
        <w:autoSpaceDN/>
        <w:bidi w:val="0"/>
        <w:adjustRightInd w:val="0"/>
        <w:snapToGrid/>
        <w:spacing w:line="360" w:lineRule="exact"/>
        <w:ind w:left="0" w:firstLine="420" w:firstLineChars="200"/>
        <w:textAlignment w:val="baseline"/>
        <w:rPr>
          <w:rFonts w:ascii="宋体" w:hAnsi="宋体" w:eastAsia="宋体" w:cs="Times New Roman"/>
          <w:color w:val="000000"/>
          <w:highlight w:val="none"/>
        </w:rPr>
      </w:pPr>
      <w:r>
        <w:rPr>
          <w:rFonts w:hint="eastAsia" w:ascii="宋体" w:hAnsi="宋体" w:eastAsia="宋体" w:cs="宋体"/>
          <w:color w:val="000000"/>
          <w:highlight w:val="none"/>
        </w:rPr>
        <w:t>如果由于战争、火灾、水灾、台风、地震、传染病疫情和政府行为等依法视为不可抗力之因素而造成无法按合同约定履行义务时，双方可以免责任，互不承担违约责任。但任何一方应在不可抗力发生后</w:t>
      </w:r>
      <w:r>
        <w:rPr>
          <w:rFonts w:ascii="宋体" w:hAnsi="宋体" w:eastAsia="宋体" w:cs="宋体"/>
          <w:color w:val="000000"/>
          <w:highlight w:val="none"/>
        </w:rPr>
        <w:t>2</w:t>
      </w:r>
      <w:r>
        <w:rPr>
          <w:rFonts w:hint="eastAsia" w:ascii="宋体" w:hAnsi="宋体" w:eastAsia="宋体" w:cs="宋体"/>
          <w:color w:val="000000"/>
          <w:highlight w:val="none"/>
        </w:rPr>
        <w:t>个工作日内善意、及时地以书面形式通知不知情的另一方，并应于不可抗力发生后</w:t>
      </w:r>
      <w:r>
        <w:rPr>
          <w:rFonts w:ascii="宋体" w:hAnsi="宋体" w:eastAsia="宋体" w:cs="宋体"/>
          <w:color w:val="000000"/>
          <w:highlight w:val="none"/>
        </w:rPr>
        <w:t>20</w:t>
      </w:r>
      <w:r>
        <w:rPr>
          <w:rFonts w:hint="eastAsia" w:ascii="宋体" w:hAnsi="宋体" w:eastAsia="宋体" w:cs="宋体"/>
          <w:color w:val="000000"/>
          <w:highlight w:val="none"/>
        </w:rPr>
        <w:t>日内向对方出具国家有关机关签署的不可抗力事故证明书。</w:t>
      </w:r>
    </w:p>
    <w:p>
      <w:pPr>
        <w:tabs>
          <w:tab w:val="left" w:pos="3510"/>
        </w:tabs>
        <w:spacing w:before="100" w:beforeAutospacing="1" w:after="100" w:afterAutospacing="1" w:line="460" w:lineRule="exact"/>
        <w:ind w:left="720" w:hanging="720"/>
        <w:outlineLvl w:val="0"/>
        <w:rPr>
          <w:rFonts w:ascii="宋体" w:hAnsi="宋体" w:cs="宋体"/>
          <w:b/>
          <w:bCs/>
          <w:highlight w:val="none"/>
        </w:rPr>
      </w:pPr>
      <w:r>
        <w:rPr>
          <w:rFonts w:hint="eastAsia" w:ascii="宋体" w:hAnsi="宋体" w:cs="宋体"/>
          <w:b/>
          <w:bCs/>
          <w:highlight w:val="none"/>
        </w:rPr>
        <w:t>十一、争议解决方式</w:t>
      </w:r>
    </w:p>
    <w:p>
      <w:pPr>
        <w:pStyle w:val="11"/>
        <w:keepNext w:val="0"/>
        <w:keepLines w:val="0"/>
        <w:pageBreakBefore w:val="0"/>
        <w:widowControl w:val="0"/>
        <w:kinsoku/>
        <w:wordWrap/>
        <w:overflowPunct/>
        <w:topLinePunct w:val="0"/>
        <w:autoSpaceDE/>
        <w:autoSpaceDN/>
        <w:bidi w:val="0"/>
        <w:adjustRightInd w:val="0"/>
        <w:snapToGrid/>
        <w:spacing w:line="360" w:lineRule="exact"/>
        <w:ind w:left="0" w:firstLine="420" w:firstLineChars="200"/>
        <w:textAlignment w:val="baseline"/>
        <w:rPr>
          <w:rFonts w:hint="eastAsia" w:ascii="宋体" w:hAnsi="宋体" w:eastAsia="宋体" w:cs="宋体"/>
          <w:color w:val="000000"/>
          <w:highlight w:val="none"/>
        </w:rPr>
      </w:pPr>
      <w:r>
        <w:rPr>
          <w:rFonts w:hint="eastAsia" w:ascii="宋体" w:hAnsi="宋体" w:eastAsia="宋体" w:cs="宋体"/>
          <w:color w:val="000000"/>
          <w:highlight w:val="none"/>
        </w:rPr>
        <w:t>因本合同引起的或与本合同有关的任何争议，双方首先协商解决，协商不成时，任意一方可在所辖区人民法院提起诉讼，通过法律途径解决。</w:t>
      </w:r>
    </w:p>
    <w:p>
      <w:pPr>
        <w:tabs>
          <w:tab w:val="left" w:pos="3510"/>
        </w:tabs>
        <w:spacing w:before="100" w:beforeAutospacing="1" w:after="100" w:afterAutospacing="1" w:line="460" w:lineRule="exact"/>
        <w:ind w:left="720" w:hanging="720"/>
        <w:outlineLvl w:val="0"/>
        <w:rPr>
          <w:rFonts w:ascii="宋体" w:hAnsi="宋体" w:cs="宋体"/>
          <w:b/>
          <w:bCs/>
          <w:highlight w:val="none"/>
        </w:rPr>
      </w:pPr>
      <w:r>
        <w:rPr>
          <w:rFonts w:hint="eastAsia" w:ascii="宋体" w:hAnsi="宋体" w:cs="宋体"/>
          <w:b/>
          <w:bCs/>
          <w:highlight w:val="none"/>
        </w:rPr>
        <w:t>十二、保密</w:t>
      </w:r>
    </w:p>
    <w:p>
      <w:pPr>
        <w:pStyle w:val="11"/>
        <w:keepNext w:val="0"/>
        <w:keepLines w:val="0"/>
        <w:pageBreakBefore w:val="0"/>
        <w:widowControl w:val="0"/>
        <w:kinsoku/>
        <w:wordWrap/>
        <w:overflowPunct/>
        <w:topLinePunct w:val="0"/>
        <w:autoSpaceDE/>
        <w:autoSpaceDN/>
        <w:bidi w:val="0"/>
        <w:adjustRightInd w:val="0"/>
        <w:snapToGrid/>
        <w:spacing w:line="360" w:lineRule="exact"/>
        <w:ind w:left="0" w:firstLine="420" w:firstLineChars="200"/>
        <w:textAlignment w:val="baseline"/>
        <w:rPr>
          <w:rFonts w:hint="eastAsia" w:ascii="宋体" w:hAnsi="宋体" w:eastAsia="宋体" w:cs="宋体"/>
          <w:color w:val="000000"/>
          <w:highlight w:val="none"/>
        </w:rPr>
      </w:pPr>
      <w:r>
        <w:rPr>
          <w:rFonts w:hint="eastAsia" w:ascii="宋体" w:hAnsi="宋体" w:eastAsia="宋体" w:cs="宋体"/>
          <w:color w:val="000000"/>
          <w:highlight w:val="none"/>
        </w:rPr>
        <w:t>在本合同生效后，任何一方向另一方提供的、该另一方不能从公共渠道取得的信息均构成提供方的保密信息，接受信息的一方除非为履行本合同之目的，不得向任何第三方披露或许可任何第三方使用该等保密信息，但接受信息的一方根据中国有关法律的规定有义务进行披露的情形除外，在此情形发生前，接受信息的一方应当首先通知提供信息的一方该等法定披露的范围及所依据的有关法律规定。</w:t>
      </w:r>
    </w:p>
    <w:p>
      <w:pPr>
        <w:pStyle w:val="11"/>
        <w:keepNext w:val="0"/>
        <w:keepLines w:val="0"/>
        <w:pageBreakBefore w:val="0"/>
        <w:widowControl w:val="0"/>
        <w:kinsoku/>
        <w:wordWrap/>
        <w:overflowPunct/>
        <w:topLinePunct w:val="0"/>
        <w:autoSpaceDE/>
        <w:autoSpaceDN/>
        <w:bidi w:val="0"/>
        <w:adjustRightInd w:val="0"/>
        <w:snapToGrid/>
        <w:spacing w:line="360" w:lineRule="exact"/>
        <w:ind w:left="0" w:firstLine="420" w:firstLineChars="200"/>
        <w:textAlignment w:val="baseline"/>
        <w:rPr>
          <w:rFonts w:hint="eastAsia" w:ascii="宋体" w:hAnsi="宋体" w:eastAsia="宋体" w:cs="宋体"/>
          <w:color w:val="000000"/>
          <w:highlight w:val="none"/>
        </w:rPr>
      </w:pPr>
      <w:r>
        <w:rPr>
          <w:rFonts w:hint="eastAsia" w:ascii="宋体" w:hAnsi="宋体" w:eastAsia="宋体" w:cs="宋体"/>
          <w:color w:val="000000"/>
          <w:highlight w:val="none"/>
        </w:rPr>
        <w:t>就本合同的目的而言，“保密信息”指一方因本合同而向另一方披露的所有业务及技术信息，除非这些信息目前或其后并非因违反对披露方的任何保密责任而变为公开的信息，或者这些信息己经或其后由另一方所开发或从不须承担任何保密责任的独立来源取得。本款规定不因本合同的期满、无效、终止而失效。</w:t>
      </w:r>
    </w:p>
    <w:p>
      <w:pPr>
        <w:tabs>
          <w:tab w:val="left" w:pos="3510"/>
        </w:tabs>
        <w:spacing w:before="100" w:beforeAutospacing="1" w:after="100" w:afterAutospacing="1" w:line="460" w:lineRule="exact"/>
        <w:ind w:left="720" w:hanging="720"/>
        <w:outlineLvl w:val="0"/>
        <w:rPr>
          <w:rFonts w:ascii="宋体" w:hAnsi="宋体" w:cs="宋体"/>
          <w:b/>
          <w:bCs/>
          <w:highlight w:val="none"/>
        </w:rPr>
      </w:pPr>
      <w:r>
        <w:rPr>
          <w:rFonts w:hint="eastAsia" w:ascii="宋体" w:hAnsi="宋体" w:cs="宋体"/>
          <w:b/>
          <w:bCs/>
          <w:highlight w:val="none"/>
        </w:rPr>
        <w:t>十三、合同效力及变更</w:t>
      </w:r>
    </w:p>
    <w:p>
      <w:pPr>
        <w:numPr>
          <w:ilvl w:val="0"/>
          <w:numId w:val="10"/>
        </w:numPr>
        <w:tabs>
          <w:tab w:val="left" w:pos="3510"/>
        </w:tabs>
        <w:spacing w:line="360" w:lineRule="exact"/>
        <w:ind w:left="714" w:hanging="357"/>
        <w:rPr>
          <w:rFonts w:ascii="宋体" w:hAnsi="宋体" w:cs="宋体"/>
          <w:highlight w:val="none"/>
        </w:rPr>
      </w:pPr>
      <w:r>
        <w:rPr>
          <w:rFonts w:hint="eastAsia" w:ascii="宋体" w:hAnsi="宋体" w:cs="宋体"/>
          <w:highlight w:val="none"/>
        </w:rPr>
        <w:t>本合同经双方加盖公章或合同专用章后生效，并以最后签订盖章日期为生效日期，仅一方填写日期，则该日期为合同生效日期，若双方均未填写日期，本合同不生效。</w:t>
      </w:r>
    </w:p>
    <w:p>
      <w:pPr>
        <w:numPr>
          <w:ilvl w:val="0"/>
          <w:numId w:val="10"/>
        </w:numPr>
        <w:tabs>
          <w:tab w:val="left" w:pos="3510"/>
        </w:tabs>
        <w:spacing w:line="360" w:lineRule="exact"/>
        <w:rPr>
          <w:rFonts w:hint="eastAsia" w:ascii="宋体" w:hAnsi="宋体" w:cs="宋体"/>
          <w:highlight w:val="none"/>
        </w:rPr>
      </w:pPr>
      <w:r>
        <w:rPr>
          <w:rFonts w:hint="eastAsia" w:ascii="宋体" w:hAnsi="宋体" w:cs="宋体"/>
          <w:highlight w:val="none"/>
        </w:rPr>
        <w:t>乙方须无条件配合甲方完成 “中国网络安全审查技术与认证中心”的网络安全审查并提供审查所需材料（如需），若未通过网络安全审查，甲方有权解除本合同，并要求乙方退还甲方支付的全部款项。</w:t>
      </w:r>
    </w:p>
    <w:p>
      <w:pPr>
        <w:numPr>
          <w:ilvl w:val="0"/>
          <w:numId w:val="10"/>
        </w:numPr>
        <w:tabs>
          <w:tab w:val="left" w:pos="3510"/>
        </w:tabs>
        <w:spacing w:line="360" w:lineRule="exact"/>
        <w:ind w:left="714" w:hanging="357"/>
        <w:rPr>
          <w:rFonts w:ascii="宋体" w:hAnsi="宋体" w:cs="宋体"/>
          <w:highlight w:val="none"/>
        </w:rPr>
      </w:pPr>
      <w:r>
        <w:rPr>
          <w:rFonts w:hint="eastAsia" w:ascii="宋体" w:hAnsi="宋体" w:cs="宋体"/>
          <w:highlight w:val="none"/>
        </w:rPr>
        <w:t>合同未尽事宜双方应协商解决，必要时可签订补充协议，补充协议作为合同附件与合同正本有同等法律效力。</w:t>
      </w:r>
    </w:p>
    <w:p>
      <w:pPr>
        <w:numPr>
          <w:ilvl w:val="0"/>
          <w:numId w:val="10"/>
        </w:numPr>
        <w:spacing w:line="360" w:lineRule="exact"/>
        <w:ind w:left="714" w:hanging="357"/>
        <w:rPr>
          <w:rFonts w:hint="eastAsia" w:ascii="宋体" w:hAnsi="宋体" w:cs="宋体"/>
          <w:highlight w:val="none"/>
        </w:rPr>
      </w:pPr>
      <w:r>
        <w:rPr>
          <w:rFonts w:hint="eastAsia" w:ascii="宋体" w:hAnsi="宋体" w:cs="宋体"/>
          <w:highlight w:val="none"/>
        </w:rPr>
        <w:t>特别约定：合同及其附件构成全部合同，合同签订之日起，双方以前或执行本合同过程中所做的任何口头交流、声明或协议等相关文件均告无效。本合同任何一方均可提出对本合同内容的补充和修订，但是任何补充和修订仅能以合同各方盖章的书面文件形式进行，该类文件是本合同的有效组成部分。</w:t>
      </w:r>
    </w:p>
    <w:p>
      <w:pPr>
        <w:numPr>
          <w:ilvl w:val="0"/>
          <w:numId w:val="10"/>
        </w:numPr>
        <w:tabs>
          <w:tab w:val="left" w:pos="3510"/>
        </w:tabs>
        <w:spacing w:line="360" w:lineRule="exact"/>
        <w:ind w:left="714" w:hanging="357"/>
        <w:rPr>
          <w:rFonts w:ascii="宋体" w:hAnsi="宋体" w:cs="宋体"/>
          <w:highlight w:val="none"/>
        </w:rPr>
      </w:pPr>
      <w:r>
        <w:rPr>
          <w:rFonts w:hint="eastAsia" w:ascii="宋体" w:hAnsi="宋体" w:cs="宋体"/>
          <w:highlight w:val="none"/>
        </w:rPr>
        <w:t>本合同一式肆份，甲乙双方各执贰份，具有同等法律效力。</w:t>
      </w:r>
    </w:p>
    <w:p>
      <w:pPr>
        <w:numPr>
          <w:ilvl w:val="0"/>
          <w:numId w:val="10"/>
        </w:numPr>
        <w:tabs>
          <w:tab w:val="left" w:pos="3510"/>
        </w:tabs>
        <w:spacing w:line="360" w:lineRule="exact"/>
        <w:ind w:left="714" w:hanging="357"/>
        <w:rPr>
          <w:rFonts w:ascii="宋体" w:hAnsi="宋体" w:cs="宋体"/>
          <w:highlight w:val="none"/>
        </w:rPr>
      </w:pPr>
      <w:r>
        <w:rPr>
          <w:rFonts w:ascii="宋体" w:hAnsi="宋体" w:cs="宋体"/>
          <w:highlight w:val="none"/>
        </w:rPr>
        <w:t>甲方</w:t>
      </w:r>
      <w:r>
        <w:rPr>
          <w:rFonts w:hint="eastAsia" w:ascii="宋体" w:hAnsi="宋体" w:cs="宋体"/>
          <w:highlight w:val="none"/>
        </w:rPr>
        <w:t>公告的</w:t>
      </w:r>
      <w:r>
        <w:rPr>
          <w:rFonts w:hint="eastAsia" w:ascii="宋体" w:hAnsi="宋体" w:cs="宋体"/>
          <w:highlight w:val="none"/>
          <w:lang w:eastAsia="zh-CN"/>
        </w:rPr>
        <w:t>项目采购书</w:t>
      </w:r>
      <w:r>
        <w:rPr>
          <w:rFonts w:hint="eastAsia" w:ascii="宋体" w:hAnsi="宋体" w:cs="宋体"/>
          <w:highlight w:val="none"/>
        </w:rPr>
        <w:t>及</w:t>
      </w:r>
      <w:r>
        <w:rPr>
          <w:rFonts w:ascii="宋体" w:hAnsi="宋体" w:cs="宋体"/>
          <w:highlight w:val="none"/>
        </w:rPr>
        <w:t>乙方的投标文件</w:t>
      </w:r>
      <w:r>
        <w:rPr>
          <w:rFonts w:hint="eastAsia" w:ascii="宋体" w:hAnsi="宋体" w:cs="宋体"/>
          <w:highlight w:val="none"/>
        </w:rPr>
        <w:t>作为</w:t>
      </w:r>
      <w:r>
        <w:rPr>
          <w:rFonts w:ascii="宋体" w:hAnsi="宋体" w:cs="宋体"/>
          <w:highlight w:val="none"/>
        </w:rPr>
        <w:t>本合同的一部分，具有同等法律效力</w:t>
      </w:r>
      <w:r>
        <w:rPr>
          <w:rFonts w:hint="eastAsia" w:ascii="宋体" w:hAnsi="宋体" w:cs="宋体"/>
          <w:highlight w:val="none"/>
        </w:rPr>
        <w:t>。</w:t>
      </w:r>
    </w:p>
    <w:p>
      <w:pPr>
        <w:tabs>
          <w:tab w:val="left" w:pos="3510"/>
        </w:tabs>
        <w:spacing w:line="460" w:lineRule="exact"/>
        <w:rPr>
          <w:rFonts w:ascii="宋体" w:hAnsi="宋体" w:cs="宋体"/>
          <w:highlight w:val="none"/>
        </w:rPr>
      </w:pPr>
    </w:p>
    <w:p>
      <w:pPr>
        <w:tabs>
          <w:tab w:val="left" w:pos="3510"/>
        </w:tabs>
        <w:spacing w:line="460" w:lineRule="exact"/>
        <w:rPr>
          <w:rFonts w:ascii="宋体" w:hAnsi="宋体"/>
          <w:b/>
          <w:bCs/>
          <w:highlight w:val="none"/>
        </w:rPr>
      </w:pPr>
    </w:p>
    <w:p>
      <w:pPr>
        <w:tabs>
          <w:tab w:val="left" w:pos="3510"/>
        </w:tabs>
        <w:spacing w:line="460" w:lineRule="exact"/>
        <w:rPr>
          <w:rFonts w:ascii="宋体" w:hAnsi="宋体" w:cs="宋体"/>
          <w:b/>
          <w:bCs/>
          <w:highlight w:val="none"/>
        </w:rPr>
      </w:pPr>
      <w:r>
        <w:rPr>
          <w:rFonts w:hint="eastAsia" w:ascii="宋体" w:hAnsi="宋体" w:cs="宋体"/>
          <w:b/>
          <w:bCs/>
          <w:highlight w:val="none"/>
        </w:rPr>
        <w:t>甲方：上海黄金交易所（章）</w:t>
      </w:r>
      <w:r>
        <w:rPr>
          <w:rFonts w:ascii="宋体" w:hAnsi="宋体" w:cs="宋体"/>
          <w:b/>
          <w:bCs/>
          <w:highlight w:val="none"/>
        </w:rPr>
        <w:t xml:space="preserve">                 </w:t>
      </w:r>
      <w:r>
        <w:rPr>
          <w:rFonts w:hint="eastAsia" w:ascii="宋体" w:hAnsi="宋体" w:cs="宋体"/>
          <w:b/>
          <w:bCs/>
          <w:highlight w:val="none"/>
        </w:rPr>
        <w:t>乙方： （章）</w:t>
      </w:r>
    </w:p>
    <w:p>
      <w:pPr>
        <w:tabs>
          <w:tab w:val="left" w:pos="3510"/>
        </w:tabs>
        <w:spacing w:line="460" w:lineRule="exact"/>
        <w:rPr>
          <w:rFonts w:hint="eastAsia" w:ascii="宋体" w:hAnsi="宋体" w:cs="宋体"/>
          <w:b/>
          <w:bCs/>
          <w:highlight w:val="none"/>
        </w:rPr>
      </w:pPr>
    </w:p>
    <w:p>
      <w:pPr>
        <w:spacing w:line="360" w:lineRule="auto"/>
        <w:rPr>
          <w:rFonts w:ascii="宋体" w:hAnsi="宋体"/>
          <w:b/>
          <w:szCs w:val="21"/>
          <w:highlight w:val="none"/>
          <w:u w:val="single"/>
        </w:rPr>
      </w:pPr>
      <w:r>
        <w:rPr>
          <w:rFonts w:hint="eastAsia" w:ascii="宋体" w:hAnsi="宋体" w:cs="宋体"/>
          <w:b/>
          <w:bCs/>
          <w:highlight w:val="none"/>
        </w:rPr>
        <w:t>日期：     年</w:t>
      </w:r>
      <w:r>
        <w:rPr>
          <w:rFonts w:ascii="宋体" w:hAnsi="宋体" w:cs="宋体"/>
          <w:b/>
          <w:bCs/>
          <w:highlight w:val="none"/>
        </w:rPr>
        <w:t xml:space="preserve">   </w:t>
      </w:r>
      <w:r>
        <w:rPr>
          <w:rFonts w:hint="eastAsia" w:ascii="宋体" w:hAnsi="宋体" w:cs="宋体"/>
          <w:b/>
          <w:bCs/>
          <w:highlight w:val="none"/>
        </w:rPr>
        <w:t xml:space="preserve"> 月</w:t>
      </w:r>
      <w:r>
        <w:rPr>
          <w:rFonts w:ascii="宋体" w:hAnsi="宋体" w:cs="宋体"/>
          <w:b/>
          <w:bCs/>
          <w:highlight w:val="none"/>
        </w:rPr>
        <w:t xml:space="preserve">    </w:t>
      </w:r>
      <w:r>
        <w:rPr>
          <w:rFonts w:hint="eastAsia" w:ascii="宋体" w:hAnsi="宋体" w:cs="宋体"/>
          <w:b/>
          <w:bCs/>
          <w:highlight w:val="none"/>
        </w:rPr>
        <w:t xml:space="preserve"> 日</w:t>
      </w:r>
      <w:r>
        <w:rPr>
          <w:rFonts w:ascii="宋体" w:hAnsi="宋体" w:cs="宋体"/>
          <w:b/>
          <w:bCs/>
          <w:highlight w:val="none"/>
        </w:rPr>
        <w:t xml:space="preserve">                 </w:t>
      </w:r>
      <w:r>
        <w:rPr>
          <w:rFonts w:hint="eastAsia" w:ascii="宋体" w:hAnsi="宋体" w:cs="宋体"/>
          <w:b/>
          <w:bCs/>
          <w:highlight w:val="none"/>
        </w:rPr>
        <w:t>日期：     年</w:t>
      </w:r>
      <w:r>
        <w:rPr>
          <w:rFonts w:ascii="宋体" w:hAnsi="宋体" w:cs="宋体"/>
          <w:b/>
          <w:bCs/>
          <w:highlight w:val="none"/>
        </w:rPr>
        <w:t xml:space="preserve">    </w:t>
      </w:r>
      <w:r>
        <w:rPr>
          <w:rFonts w:hint="eastAsia" w:ascii="宋体" w:hAnsi="宋体" w:cs="宋体"/>
          <w:b/>
          <w:bCs/>
          <w:highlight w:val="none"/>
        </w:rPr>
        <w:t>月</w:t>
      </w:r>
      <w:r>
        <w:rPr>
          <w:rFonts w:ascii="宋体" w:hAnsi="宋体" w:cs="宋体"/>
          <w:b/>
          <w:bCs/>
          <w:highlight w:val="none"/>
        </w:rPr>
        <w:t xml:space="preserve">   </w:t>
      </w:r>
      <w:r>
        <w:rPr>
          <w:rFonts w:hint="eastAsia" w:ascii="宋体" w:hAnsi="宋体" w:cs="宋体"/>
          <w:b/>
          <w:bCs/>
          <w:highlight w:val="none"/>
        </w:rPr>
        <w:t xml:space="preserve">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utura Bk">
    <w:altName w:val="Calibri"/>
    <w:panose1 w:val="00000000000000000000"/>
    <w:charset w:val="00"/>
    <w:family w:val="auto"/>
    <w:pitch w:val="default"/>
    <w:sig w:usb0="00000000" w:usb1="00000000" w:usb2="00000000" w:usb3="00000000" w:csb0="000001FB"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6614576"/>
      <w:docPartObj>
        <w:docPartGallery w:val="autotext"/>
      </w:docPartObj>
    </w:sdtPr>
    <w:sdtEndPr>
      <w:rPr>
        <w:rFonts w:asciiTheme="minorEastAsia" w:hAnsiTheme="minorEastAsia"/>
        <w:sz w:val="21"/>
        <w:szCs w:val="21"/>
      </w:rPr>
    </w:sdtEndPr>
    <w:sdtContent>
      <w:p>
        <w:pPr>
          <w:pStyle w:val="8"/>
          <w:jc w:val="center"/>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 xml:space="preserve">PAGE   \* MERGEFORMAT</w:instrText>
        </w:r>
        <w:r>
          <w:rPr>
            <w:rFonts w:asciiTheme="minorEastAsia" w:hAnsiTheme="minorEastAsia"/>
            <w:sz w:val="21"/>
            <w:szCs w:val="21"/>
          </w:rPr>
          <w:fldChar w:fldCharType="separate"/>
        </w:r>
        <w:r>
          <w:rPr>
            <w:rFonts w:asciiTheme="minorEastAsia" w:hAnsiTheme="minorEastAsia"/>
            <w:sz w:val="21"/>
            <w:szCs w:val="21"/>
            <w:lang w:val="zh-CN"/>
          </w:rPr>
          <w:t>9</w:t>
        </w:r>
        <w:r>
          <w:rPr>
            <w:rFonts w:asciiTheme="minorEastAsia" w:hAnsiTheme="minorEastAsia"/>
            <w:sz w:val="21"/>
            <w:szCs w:val="21"/>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1"/>
    <w:multiLevelType w:val="multilevel"/>
    <w:tmpl w:val="00000011"/>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2" w:tentative="0">
      <w:start w:val="1"/>
      <w:numFmt w:val="decimal"/>
      <w:lvlText w:val="%3)"/>
      <w:lvlJc w:val="left"/>
      <w:pPr>
        <w:ind w:left="456" w:hanging="360"/>
      </w:pPr>
      <w:rPr>
        <w:rFonts w:hint="default"/>
      </w:rPr>
    </w:lvl>
    <w:lvl w:ilvl="3" w:tentative="0">
      <w:start w:val="1"/>
      <w:numFmt w:val="decimal"/>
      <w:lvlText w:val="%1.%2.%3.%4"/>
      <w:lvlJc w:val="left"/>
      <w:pPr>
        <w:tabs>
          <w:tab w:val="left" w:pos="1440"/>
        </w:tabs>
        <w:ind w:left="1000" w:hanging="1000"/>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00000020"/>
    <w:multiLevelType w:val="multilevel"/>
    <w:tmpl w:val="00000020"/>
    <w:lvl w:ilvl="0" w:tentative="0">
      <w:start w:val="1"/>
      <w:numFmt w:val="decimal"/>
      <w:lvlText w:val="%1."/>
      <w:lvlJc w:val="left"/>
      <w:pPr>
        <w:tabs>
          <w:tab w:val="left" w:pos="1140"/>
        </w:tabs>
        <w:ind w:left="1140" w:hanging="420"/>
      </w:p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2">
    <w:nsid w:val="0222022C"/>
    <w:multiLevelType w:val="multilevel"/>
    <w:tmpl w:val="0222022C"/>
    <w:lvl w:ilvl="0" w:tentative="0">
      <w:start w:val="2"/>
      <w:numFmt w:val="none"/>
      <w:lvlText w:val="二、"/>
      <w:lvlJc w:val="left"/>
      <w:pPr>
        <w:tabs>
          <w:tab w:val="left" w:pos="420"/>
        </w:tabs>
        <w:ind w:left="420" w:hanging="420"/>
      </w:pPr>
      <w:rPr>
        <w:rFonts w:hint="default"/>
      </w:rPr>
    </w:lvl>
    <w:lvl w:ilvl="1" w:tentative="0">
      <w:start w:val="1"/>
      <w:numFmt w:val="decimal"/>
      <w:lvlText w:val="%2、"/>
      <w:lvlJc w:val="left"/>
      <w:pPr>
        <w:tabs>
          <w:tab w:val="left" w:pos="780"/>
        </w:tabs>
        <w:ind w:left="780" w:hanging="360"/>
      </w:pPr>
      <w:rPr>
        <w:rFonts w:hint="eastAsia"/>
        <w:u w:val="none"/>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5223C21"/>
    <w:multiLevelType w:val="multilevel"/>
    <w:tmpl w:val="25223C21"/>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76D3939"/>
    <w:multiLevelType w:val="multilevel"/>
    <w:tmpl w:val="276D3939"/>
    <w:lvl w:ilvl="0" w:tentative="0">
      <w:start w:val="1"/>
      <w:numFmt w:val="japaneseCounting"/>
      <w:lvlText w:val="%1、"/>
      <w:lvlJc w:val="left"/>
      <w:pPr>
        <w:tabs>
          <w:tab w:val="left" w:pos="765"/>
        </w:tabs>
        <w:ind w:left="765" w:hanging="405"/>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5">
    <w:nsid w:val="2FEB7E95"/>
    <w:multiLevelType w:val="multilevel"/>
    <w:tmpl w:val="2FEB7E95"/>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3D383CEC"/>
    <w:multiLevelType w:val="multilevel"/>
    <w:tmpl w:val="3D383CEC"/>
    <w:lvl w:ilvl="0" w:tentative="0">
      <w:start w:val="2"/>
      <w:numFmt w:val="none"/>
      <w:lvlText w:val="二、"/>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AC769AE"/>
    <w:multiLevelType w:val="multilevel"/>
    <w:tmpl w:val="4AC769A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0922C68"/>
    <w:multiLevelType w:val="multilevel"/>
    <w:tmpl w:val="50922C68"/>
    <w:lvl w:ilvl="0" w:tentative="0">
      <w:start w:val="1"/>
      <w:numFmt w:val="decimal"/>
      <w:lvlText w:val="%1、"/>
      <w:lvlJc w:val="left"/>
      <w:pPr>
        <w:tabs>
          <w:tab w:val="left" w:pos="719"/>
        </w:tabs>
        <w:ind w:left="719" w:hanging="360"/>
      </w:pPr>
      <w:rPr>
        <w:rFonts w:hint="default"/>
      </w:rPr>
    </w:lvl>
    <w:lvl w:ilvl="1" w:tentative="0">
      <w:start w:val="1"/>
      <w:numFmt w:val="lowerLetter"/>
      <w:lvlText w:val="%2)"/>
      <w:lvlJc w:val="left"/>
      <w:pPr>
        <w:tabs>
          <w:tab w:val="left" w:pos="1199"/>
        </w:tabs>
        <w:ind w:left="1199" w:hanging="420"/>
      </w:pPr>
    </w:lvl>
    <w:lvl w:ilvl="2" w:tentative="0">
      <w:start w:val="1"/>
      <w:numFmt w:val="lowerRoman"/>
      <w:lvlText w:val="%3."/>
      <w:lvlJc w:val="right"/>
      <w:pPr>
        <w:tabs>
          <w:tab w:val="left" w:pos="1619"/>
        </w:tabs>
        <w:ind w:left="1619" w:hanging="420"/>
      </w:pPr>
    </w:lvl>
    <w:lvl w:ilvl="3" w:tentative="0">
      <w:start w:val="1"/>
      <w:numFmt w:val="decimal"/>
      <w:lvlText w:val="%4."/>
      <w:lvlJc w:val="left"/>
      <w:pPr>
        <w:tabs>
          <w:tab w:val="left" w:pos="2039"/>
        </w:tabs>
        <w:ind w:left="2039" w:hanging="420"/>
      </w:pPr>
    </w:lvl>
    <w:lvl w:ilvl="4" w:tentative="0">
      <w:start w:val="1"/>
      <w:numFmt w:val="lowerLetter"/>
      <w:lvlText w:val="%5)"/>
      <w:lvlJc w:val="left"/>
      <w:pPr>
        <w:tabs>
          <w:tab w:val="left" w:pos="2459"/>
        </w:tabs>
        <w:ind w:left="2459" w:hanging="420"/>
      </w:pPr>
    </w:lvl>
    <w:lvl w:ilvl="5" w:tentative="0">
      <w:start w:val="1"/>
      <w:numFmt w:val="lowerRoman"/>
      <w:lvlText w:val="%6."/>
      <w:lvlJc w:val="right"/>
      <w:pPr>
        <w:tabs>
          <w:tab w:val="left" w:pos="2879"/>
        </w:tabs>
        <w:ind w:left="2879" w:hanging="420"/>
      </w:pPr>
    </w:lvl>
    <w:lvl w:ilvl="6" w:tentative="0">
      <w:start w:val="1"/>
      <w:numFmt w:val="decimal"/>
      <w:lvlText w:val="%7."/>
      <w:lvlJc w:val="left"/>
      <w:pPr>
        <w:tabs>
          <w:tab w:val="left" w:pos="3299"/>
        </w:tabs>
        <w:ind w:left="3299" w:hanging="420"/>
      </w:pPr>
    </w:lvl>
    <w:lvl w:ilvl="7" w:tentative="0">
      <w:start w:val="1"/>
      <w:numFmt w:val="lowerLetter"/>
      <w:lvlText w:val="%8)"/>
      <w:lvlJc w:val="left"/>
      <w:pPr>
        <w:tabs>
          <w:tab w:val="left" w:pos="3719"/>
        </w:tabs>
        <w:ind w:left="3719" w:hanging="420"/>
      </w:pPr>
    </w:lvl>
    <w:lvl w:ilvl="8" w:tentative="0">
      <w:start w:val="1"/>
      <w:numFmt w:val="lowerRoman"/>
      <w:lvlText w:val="%9."/>
      <w:lvlJc w:val="right"/>
      <w:pPr>
        <w:tabs>
          <w:tab w:val="left" w:pos="4139"/>
        </w:tabs>
        <w:ind w:left="4139" w:hanging="420"/>
      </w:pPr>
    </w:lvl>
  </w:abstractNum>
  <w:abstractNum w:abstractNumId="9">
    <w:nsid w:val="67073947"/>
    <w:multiLevelType w:val="multilevel"/>
    <w:tmpl w:val="6707394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9"/>
  </w:num>
  <w:num w:numId="4">
    <w:abstractNumId w:val="7"/>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2"/>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5ZmQ3OGQ3MWIxNjM0NzM0YzIzOThmN2FmMTM2YjMifQ=="/>
  </w:docVars>
  <w:rsids>
    <w:rsidRoot w:val="008B32B7"/>
    <w:rsid w:val="000038C0"/>
    <w:rsid w:val="00004CFF"/>
    <w:rsid w:val="00010FDB"/>
    <w:rsid w:val="00013E6B"/>
    <w:rsid w:val="00015194"/>
    <w:rsid w:val="00015ABC"/>
    <w:rsid w:val="00026D61"/>
    <w:rsid w:val="00033CEB"/>
    <w:rsid w:val="000370C5"/>
    <w:rsid w:val="0004303B"/>
    <w:rsid w:val="000503D0"/>
    <w:rsid w:val="00051C1A"/>
    <w:rsid w:val="00054F4B"/>
    <w:rsid w:val="000602EE"/>
    <w:rsid w:val="00061AD4"/>
    <w:rsid w:val="00061D28"/>
    <w:rsid w:val="00063466"/>
    <w:rsid w:val="00064416"/>
    <w:rsid w:val="00066543"/>
    <w:rsid w:val="000674E6"/>
    <w:rsid w:val="000676E2"/>
    <w:rsid w:val="00072DF9"/>
    <w:rsid w:val="00074657"/>
    <w:rsid w:val="000746E4"/>
    <w:rsid w:val="00075783"/>
    <w:rsid w:val="00076E28"/>
    <w:rsid w:val="0007717C"/>
    <w:rsid w:val="00077217"/>
    <w:rsid w:val="00077862"/>
    <w:rsid w:val="00080CFE"/>
    <w:rsid w:val="00091AB1"/>
    <w:rsid w:val="00095505"/>
    <w:rsid w:val="000A1AC7"/>
    <w:rsid w:val="000A44BB"/>
    <w:rsid w:val="000A4F79"/>
    <w:rsid w:val="000A5E2B"/>
    <w:rsid w:val="000B122B"/>
    <w:rsid w:val="000B13D8"/>
    <w:rsid w:val="000B42EC"/>
    <w:rsid w:val="000B44AC"/>
    <w:rsid w:val="000B7A71"/>
    <w:rsid w:val="000C026A"/>
    <w:rsid w:val="000C4055"/>
    <w:rsid w:val="000C519F"/>
    <w:rsid w:val="000D653D"/>
    <w:rsid w:val="000D7167"/>
    <w:rsid w:val="000D7C81"/>
    <w:rsid w:val="000E63EA"/>
    <w:rsid w:val="000E7634"/>
    <w:rsid w:val="000F2C72"/>
    <w:rsid w:val="000F2D11"/>
    <w:rsid w:val="000F374E"/>
    <w:rsid w:val="000F7A37"/>
    <w:rsid w:val="001025E1"/>
    <w:rsid w:val="001038B9"/>
    <w:rsid w:val="00106BC6"/>
    <w:rsid w:val="00110476"/>
    <w:rsid w:val="001116A1"/>
    <w:rsid w:val="0011196A"/>
    <w:rsid w:val="00114135"/>
    <w:rsid w:val="0012078E"/>
    <w:rsid w:val="00124798"/>
    <w:rsid w:val="00124EB7"/>
    <w:rsid w:val="00125E13"/>
    <w:rsid w:val="001332DA"/>
    <w:rsid w:val="001338F6"/>
    <w:rsid w:val="001371EC"/>
    <w:rsid w:val="00141ED5"/>
    <w:rsid w:val="0014229C"/>
    <w:rsid w:val="00144455"/>
    <w:rsid w:val="00144776"/>
    <w:rsid w:val="001465FE"/>
    <w:rsid w:val="00150C4E"/>
    <w:rsid w:val="00150FCE"/>
    <w:rsid w:val="00151C22"/>
    <w:rsid w:val="00152B19"/>
    <w:rsid w:val="00154B76"/>
    <w:rsid w:val="00160A01"/>
    <w:rsid w:val="00161953"/>
    <w:rsid w:val="0016601F"/>
    <w:rsid w:val="00172D99"/>
    <w:rsid w:val="001746E7"/>
    <w:rsid w:val="001768D5"/>
    <w:rsid w:val="001827B2"/>
    <w:rsid w:val="00185E7A"/>
    <w:rsid w:val="00186707"/>
    <w:rsid w:val="00193DF4"/>
    <w:rsid w:val="00197FD5"/>
    <w:rsid w:val="001A34D0"/>
    <w:rsid w:val="001A6496"/>
    <w:rsid w:val="001A67E7"/>
    <w:rsid w:val="001A7140"/>
    <w:rsid w:val="001B22F2"/>
    <w:rsid w:val="001B47AE"/>
    <w:rsid w:val="001C11C5"/>
    <w:rsid w:val="001C49CA"/>
    <w:rsid w:val="001C5CD7"/>
    <w:rsid w:val="001C6045"/>
    <w:rsid w:val="001C6166"/>
    <w:rsid w:val="001C7BF7"/>
    <w:rsid w:val="001C7FF0"/>
    <w:rsid w:val="001D009D"/>
    <w:rsid w:val="001D0FDB"/>
    <w:rsid w:val="001D656A"/>
    <w:rsid w:val="001E226D"/>
    <w:rsid w:val="001E2F25"/>
    <w:rsid w:val="001E2F53"/>
    <w:rsid w:val="001E344E"/>
    <w:rsid w:val="001E7D44"/>
    <w:rsid w:val="001F081F"/>
    <w:rsid w:val="001F1852"/>
    <w:rsid w:val="001F6CF7"/>
    <w:rsid w:val="001F6DD0"/>
    <w:rsid w:val="00200716"/>
    <w:rsid w:val="002011C2"/>
    <w:rsid w:val="00201623"/>
    <w:rsid w:val="0020608B"/>
    <w:rsid w:val="002067FD"/>
    <w:rsid w:val="002213A9"/>
    <w:rsid w:val="002250F4"/>
    <w:rsid w:val="00230C03"/>
    <w:rsid w:val="0023196A"/>
    <w:rsid w:val="00231BF8"/>
    <w:rsid w:val="00232889"/>
    <w:rsid w:val="002331FF"/>
    <w:rsid w:val="00233F3B"/>
    <w:rsid w:val="002358AC"/>
    <w:rsid w:val="00244917"/>
    <w:rsid w:val="00250702"/>
    <w:rsid w:val="00251B5F"/>
    <w:rsid w:val="002625F6"/>
    <w:rsid w:val="00263590"/>
    <w:rsid w:val="002664F6"/>
    <w:rsid w:val="0027611F"/>
    <w:rsid w:val="00283069"/>
    <w:rsid w:val="00287E5D"/>
    <w:rsid w:val="002906BB"/>
    <w:rsid w:val="0029260E"/>
    <w:rsid w:val="0029557F"/>
    <w:rsid w:val="00296861"/>
    <w:rsid w:val="002A022E"/>
    <w:rsid w:val="002A1EDE"/>
    <w:rsid w:val="002A4A2E"/>
    <w:rsid w:val="002A572C"/>
    <w:rsid w:val="002A652F"/>
    <w:rsid w:val="002B10E1"/>
    <w:rsid w:val="002B4D5D"/>
    <w:rsid w:val="002C30D7"/>
    <w:rsid w:val="002C6A80"/>
    <w:rsid w:val="002D040E"/>
    <w:rsid w:val="002D2D19"/>
    <w:rsid w:val="002D36B3"/>
    <w:rsid w:val="002D725E"/>
    <w:rsid w:val="002D7859"/>
    <w:rsid w:val="002E2FCB"/>
    <w:rsid w:val="002E3527"/>
    <w:rsid w:val="002E656C"/>
    <w:rsid w:val="002E6754"/>
    <w:rsid w:val="002F0DD1"/>
    <w:rsid w:val="002F18A5"/>
    <w:rsid w:val="002F230E"/>
    <w:rsid w:val="002F36D3"/>
    <w:rsid w:val="002F47BC"/>
    <w:rsid w:val="003004D0"/>
    <w:rsid w:val="003026C4"/>
    <w:rsid w:val="00305924"/>
    <w:rsid w:val="00306E89"/>
    <w:rsid w:val="003108B5"/>
    <w:rsid w:val="00312E0C"/>
    <w:rsid w:val="00313297"/>
    <w:rsid w:val="00314153"/>
    <w:rsid w:val="00317780"/>
    <w:rsid w:val="003317E7"/>
    <w:rsid w:val="00332787"/>
    <w:rsid w:val="00337825"/>
    <w:rsid w:val="00341876"/>
    <w:rsid w:val="00342D04"/>
    <w:rsid w:val="003430A1"/>
    <w:rsid w:val="00344E34"/>
    <w:rsid w:val="003472B5"/>
    <w:rsid w:val="0035046D"/>
    <w:rsid w:val="003520A6"/>
    <w:rsid w:val="00356949"/>
    <w:rsid w:val="00356AEF"/>
    <w:rsid w:val="00360D21"/>
    <w:rsid w:val="00372546"/>
    <w:rsid w:val="00372F39"/>
    <w:rsid w:val="0037454B"/>
    <w:rsid w:val="003746E4"/>
    <w:rsid w:val="003773D6"/>
    <w:rsid w:val="00381667"/>
    <w:rsid w:val="00381A8F"/>
    <w:rsid w:val="0038213E"/>
    <w:rsid w:val="0038237F"/>
    <w:rsid w:val="00383388"/>
    <w:rsid w:val="003844A8"/>
    <w:rsid w:val="0038563F"/>
    <w:rsid w:val="00387C38"/>
    <w:rsid w:val="00391E7B"/>
    <w:rsid w:val="003939ED"/>
    <w:rsid w:val="003950F6"/>
    <w:rsid w:val="00395E15"/>
    <w:rsid w:val="00396F25"/>
    <w:rsid w:val="003A108E"/>
    <w:rsid w:val="003A2662"/>
    <w:rsid w:val="003A640F"/>
    <w:rsid w:val="003A74D8"/>
    <w:rsid w:val="003A7F54"/>
    <w:rsid w:val="003B0186"/>
    <w:rsid w:val="003B3207"/>
    <w:rsid w:val="003C10BD"/>
    <w:rsid w:val="003C3E94"/>
    <w:rsid w:val="003C5A1D"/>
    <w:rsid w:val="003C6A9B"/>
    <w:rsid w:val="003D4E4F"/>
    <w:rsid w:val="003D63BD"/>
    <w:rsid w:val="003D7A3B"/>
    <w:rsid w:val="003E16FC"/>
    <w:rsid w:val="003E5442"/>
    <w:rsid w:val="003E7B39"/>
    <w:rsid w:val="003F01FF"/>
    <w:rsid w:val="003F2DA4"/>
    <w:rsid w:val="003F2DBF"/>
    <w:rsid w:val="004009F7"/>
    <w:rsid w:val="0040674A"/>
    <w:rsid w:val="00422DF7"/>
    <w:rsid w:val="00425DD0"/>
    <w:rsid w:val="00430BE2"/>
    <w:rsid w:val="0043216A"/>
    <w:rsid w:val="0043278E"/>
    <w:rsid w:val="0043601D"/>
    <w:rsid w:val="00436E54"/>
    <w:rsid w:val="00440C7C"/>
    <w:rsid w:val="004423A8"/>
    <w:rsid w:val="004427B7"/>
    <w:rsid w:val="0044797F"/>
    <w:rsid w:val="00452486"/>
    <w:rsid w:val="00457470"/>
    <w:rsid w:val="00461DF0"/>
    <w:rsid w:val="0046220D"/>
    <w:rsid w:val="0046751C"/>
    <w:rsid w:val="0047015B"/>
    <w:rsid w:val="00471A37"/>
    <w:rsid w:val="00473149"/>
    <w:rsid w:val="00480B88"/>
    <w:rsid w:val="00481B17"/>
    <w:rsid w:val="00481D2A"/>
    <w:rsid w:val="00484032"/>
    <w:rsid w:val="00493C5A"/>
    <w:rsid w:val="00494AEB"/>
    <w:rsid w:val="004A0B96"/>
    <w:rsid w:val="004A663E"/>
    <w:rsid w:val="004A6EB0"/>
    <w:rsid w:val="004B1958"/>
    <w:rsid w:val="004B25DB"/>
    <w:rsid w:val="004B3FBE"/>
    <w:rsid w:val="004C3B2C"/>
    <w:rsid w:val="004C51A8"/>
    <w:rsid w:val="004C778E"/>
    <w:rsid w:val="004D12D7"/>
    <w:rsid w:val="004D3051"/>
    <w:rsid w:val="004D4145"/>
    <w:rsid w:val="004D5CC6"/>
    <w:rsid w:val="004D6759"/>
    <w:rsid w:val="004E564B"/>
    <w:rsid w:val="004E6F1B"/>
    <w:rsid w:val="004F0232"/>
    <w:rsid w:val="004F4210"/>
    <w:rsid w:val="004F5E1B"/>
    <w:rsid w:val="0050136A"/>
    <w:rsid w:val="005030F7"/>
    <w:rsid w:val="0050315D"/>
    <w:rsid w:val="00506E1C"/>
    <w:rsid w:val="0052063B"/>
    <w:rsid w:val="00525848"/>
    <w:rsid w:val="00525E3F"/>
    <w:rsid w:val="00526D08"/>
    <w:rsid w:val="0052751B"/>
    <w:rsid w:val="00527706"/>
    <w:rsid w:val="00527957"/>
    <w:rsid w:val="00534525"/>
    <w:rsid w:val="00543724"/>
    <w:rsid w:val="00544523"/>
    <w:rsid w:val="00544D6B"/>
    <w:rsid w:val="00545050"/>
    <w:rsid w:val="00552F24"/>
    <w:rsid w:val="00553D69"/>
    <w:rsid w:val="005626F9"/>
    <w:rsid w:val="00562DC1"/>
    <w:rsid w:val="0056330F"/>
    <w:rsid w:val="005634DC"/>
    <w:rsid w:val="00566849"/>
    <w:rsid w:val="00570B19"/>
    <w:rsid w:val="005719C6"/>
    <w:rsid w:val="00573EF3"/>
    <w:rsid w:val="00574B03"/>
    <w:rsid w:val="00574FBF"/>
    <w:rsid w:val="005837C8"/>
    <w:rsid w:val="005844A6"/>
    <w:rsid w:val="005849D1"/>
    <w:rsid w:val="0058556E"/>
    <w:rsid w:val="0059722A"/>
    <w:rsid w:val="005A1C18"/>
    <w:rsid w:val="005A200F"/>
    <w:rsid w:val="005A2D00"/>
    <w:rsid w:val="005A727F"/>
    <w:rsid w:val="005B2974"/>
    <w:rsid w:val="005C7C98"/>
    <w:rsid w:val="005D0F67"/>
    <w:rsid w:val="005D1B74"/>
    <w:rsid w:val="005D1CF6"/>
    <w:rsid w:val="005D3B36"/>
    <w:rsid w:val="005D49EC"/>
    <w:rsid w:val="005D604C"/>
    <w:rsid w:val="005D7894"/>
    <w:rsid w:val="005D7C57"/>
    <w:rsid w:val="005E0FEC"/>
    <w:rsid w:val="005E39EC"/>
    <w:rsid w:val="005E569E"/>
    <w:rsid w:val="005E7033"/>
    <w:rsid w:val="005E744C"/>
    <w:rsid w:val="005F44C9"/>
    <w:rsid w:val="005F69C6"/>
    <w:rsid w:val="00602BE9"/>
    <w:rsid w:val="006045B4"/>
    <w:rsid w:val="006073EF"/>
    <w:rsid w:val="00611F6A"/>
    <w:rsid w:val="00613203"/>
    <w:rsid w:val="0061442B"/>
    <w:rsid w:val="00617E92"/>
    <w:rsid w:val="00630CAD"/>
    <w:rsid w:val="0063165A"/>
    <w:rsid w:val="00632302"/>
    <w:rsid w:val="00633907"/>
    <w:rsid w:val="00635820"/>
    <w:rsid w:val="00636DD4"/>
    <w:rsid w:val="00641838"/>
    <w:rsid w:val="00642971"/>
    <w:rsid w:val="006431ED"/>
    <w:rsid w:val="006435B2"/>
    <w:rsid w:val="006475A2"/>
    <w:rsid w:val="0065289C"/>
    <w:rsid w:val="006528D4"/>
    <w:rsid w:val="00653018"/>
    <w:rsid w:val="00654CB4"/>
    <w:rsid w:val="00655EC1"/>
    <w:rsid w:val="00670057"/>
    <w:rsid w:val="00670772"/>
    <w:rsid w:val="00671DC6"/>
    <w:rsid w:val="00672D81"/>
    <w:rsid w:val="00674F8F"/>
    <w:rsid w:val="00676ABC"/>
    <w:rsid w:val="00680103"/>
    <w:rsid w:val="00681EDB"/>
    <w:rsid w:val="00682C4B"/>
    <w:rsid w:val="00684E7E"/>
    <w:rsid w:val="00690530"/>
    <w:rsid w:val="00694EB2"/>
    <w:rsid w:val="00696FB9"/>
    <w:rsid w:val="00697140"/>
    <w:rsid w:val="0069728E"/>
    <w:rsid w:val="006A449A"/>
    <w:rsid w:val="006A5A66"/>
    <w:rsid w:val="006C3CA3"/>
    <w:rsid w:val="006C5849"/>
    <w:rsid w:val="006C61F5"/>
    <w:rsid w:val="006C797E"/>
    <w:rsid w:val="006D00F6"/>
    <w:rsid w:val="006D1FD1"/>
    <w:rsid w:val="006D38E7"/>
    <w:rsid w:val="006D553D"/>
    <w:rsid w:val="006D6330"/>
    <w:rsid w:val="006E5F22"/>
    <w:rsid w:val="006F22E1"/>
    <w:rsid w:val="006F5BDD"/>
    <w:rsid w:val="006F6ADF"/>
    <w:rsid w:val="007003D3"/>
    <w:rsid w:val="00701DA2"/>
    <w:rsid w:val="00703053"/>
    <w:rsid w:val="0070555C"/>
    <w:rsid w:val="007062B7"/>
    <w:rsid w:val="007110B9"/>
    <w:rsid w:val="0071143A"/>
    <w:rsid w:val="00712DCF"/>
    <w:rsid w:val="007131DF"/>
    <w:rsid w:val="0071725D"/>
    <w:rsid w:val="00723331"/>
    <w:rsid w:val="00723A79"/>
    <w:rsid w:val="00730787"/>
    <w:rsid w:val="007338F0"/>
    <w:rsid w:val="007356AE"/>
    <w:rsid w:val="007434ED"/>
    <w:rsid w:val="00746045"/>
    <w:rsid w:val="00751BEE"/>
    <w:rsid w:val="007535A6"/>
    <w:rsid w:val="00754739"/>
    <w:rsid w:val="0075761C"/>
    <w:rsid w:val="007578CB"/>
    <w:rsid w:val="0077062B"/>
    <w:rsid w:val="007735CB"/>
    <w:rsid w:val="007767A7"/>
    <w:rsid w:val="007809BA"/>
    <w:rsid w:val="0078259E"/>
    <w:rsid w:val="00783DE8"/>
    <w:rsid w:val="007842EA"/>
    <w:rsid w:val="00784AB5"/>
    <w:rsid w:val="00792456"/>
    <w:rsid w:val="00792551"/>
    <w:rsid w:val="007953BF"/>
    <w:rsid w:val="00795AA5"/>
    <w:rsid w:val="00796DCF"/>
    <w:rsid w:val="00797871"/>
    <w:rsid w:val="007A004C"/>
    <w:rsid w:val="007A15F0"/>
    <w:rsid w:val="007A5AB3"/>
    <w:rsid w:val="007A79BA"/>
    <w:rsid w:val="007B2235"/>
    <w:rsid w:val="007B2D4A"/>
    <w:rsid w:val="007B61F1"/>
    <w:rsid w:val="007C0F7F"/>
    <w:rsid w:val="007C245C"/>
    <w:rsid w:val="007C3D58"/>
    <w:rsid w:val="007C4DEE"/>
    <w:rsid w:val="007C5D0E"/>
    <w:rsid w:val="007C716D"/>
    <w:rsid w:val="007C72AC"/>
    <w:rsid w:val="007C7548"/>
    <w:rsid w:val="007C7D37"/>
    <w:rsid w:val="007D0B0E"/>
    <w:rsid w:val="007D1749"/>
    <w:rsid w:val="007D3C9D"/>
    <w:rsid w:val="007E4302"/>
    <w:rsid w:val="007E6FC7"/>
    <w:rsid w:val="007E79C1"/>
    <w:rsid w:val="007F078C"/>
    <w:rsid w:val="00803420"/>
    <w:rsid w:val="0080786C"/>
    <w:rsid w:val="00810BDD"/>
    <w:rsid w:val="00813EDA"/>
    <w:rsid w:val="00815451"/>
    <w:rsid w:val="00826257"/>
    <w:rsid w:val="008263F5"/>
    <w:rsid w:val="0082744B"/>
    <w:rsid w:val="00834064"/>
    <w:rsid w:val="008360E3"/>
    <w:rsid w:val="00836AFA"/>
    <w:rsid w:val="00837192"/>
    <w:rsid w:val="00842BCD"/>
    <w:rsid w:val="00842EA3"/>
    <w:rsid w:val="00843518"/>
    <w:rsid w:val="00845E91"/>
    <w:rsid w:val="008460A8"/>
    <w:rsid w:val="00850885"/>
    <w:rsid w:val="0085367C"/>
    <w:rsid w:val="00854CAD"/>
    <w:rsid w:val="008635D8"/>
    <w:rsid w:val="00863C4E"/>
    <w:rsid w:val="00866A9A"/>
    <w:rsid w:val="008679AC"/>
    <w:rsid w:val="008728D5"/>
    <w:rsid w:val="00873824"/>
    <w:rsid w:val="00874141"/>
    <w:rsid w:val="00877155"/>
    <w:rsid w:val="00880B8E"/>
    <w:rsid w:val="0088228B"/>
    <w:rsid w:val="008834D8"/>
    <w:rsid w:val="008913B3"/>
    <w:rsid w:val="008A0AE0"/>
    <w:rsid w:val="008A0C26"/>
    <w:rsid w:val="008A200E"/>
    <w:rsid w:val="008A7BE4"/>
    <w:rsid w:val="008B12A2"/>
    <w:rsid w:val="008B2FEB"/>
    <w:rsid w:val="008B32B7"/>
    <w:rsid w:val="008B3AB0"/>
    <w:rsid w:val="008B6599"/>
    <w:rsid w:val="008C0D6A"/>
    <w:rsid w:val="008C2CD4"/>
    <w:rsid w:val="008D06F3"/>
    <w:rsid w:val="008D4D9A"/>
    <w:rsid w:val="008E6C97"/>
    <w:rsid w:val="008F4A7E"/>
    <w:rsid w:val="008F5D5C"/>
    <w:rsid w:val="008F6A88"/>
    <w:rsid w:val="00902AC9"/>
    <w:rsid w:val="009057E4"/>
    <w:rsid w:val="009160AA"/>
    <w:rsid w:val="00930133"/>
    <w:rsid w:val="009319F0"/>
    <w:rsid w:val="00937DA9"/>
    <w:rsid w:val="009402FE"/>
    <w:rsid w:val="00940AA2"/>
    <w:rsid w:val="00941DFE"/>
    <w:rsid w:val="009458EC"/>
    <w:rsid w:val="00947DFC"/>
    <w:rsid w:val="00950436"/>
    <w:rsid w:val="00954DAB"/>
    <w:rsid w:val="009560CD"/>
    <w:rsid w:val="00956865"/>
    <w:rsid w:val="00957F3C"/>
    <w:rsid w:val="00957FC3"/>
    <w:rsid w:val="00960A28"/>
    <w:rsid w:val="0097177B"/>
    <w:rsid w:val="00972189"/>
    <w:rsid w:val="00974F14"/>
    <w:rsid w:val="009769AC"/>
    <w:rsid w:val="00980481"/>
    <w:rsid w:val="00982B21"/>
    <w:rsid w:val="009833B0"/>
    <w:rsid w:val="009841BF"/>
    <w:rsid w:val="00984E12"/>
    <w:rsid w:val="00985E7A"/>
    <w:rsid w:val="00987DA9"/>
    <w:rsid w:val="00990F3E"/>
    <w:rsid w:val="00991932"/>
    <w:rsid w:val="009926B2"/>
    <w:rsid w:val="00992936"/>
    <w:rsid w:val="009952A3"/>
    <w:rsid w:val="00997D7F"/>
    <w:rsid w:val="009A03BA"/>
    <w:rsid w:val="009A047B"/>
    <w:rsid w:val="009A397B"/>
    <w:rsid w:val="009A42DA"/>
    <w:rsid w:val="009A49F5"/>
    <w:rsid w:val="009A4D4A"/>
    <w:rsid w:val="009A5F3F"/>
    <w:rsid w:val="009B052B"/>
    <w:rsid w:val="009B5D57"/>
    <w:rsid w:val="009C26AD"/>
    <w:rsid w:val="009C2D39"/>
    <w:rsid w:val="009D02D5"/>
    <w:rsid w:val="009D4D03"/>
    <w:rsid w:val="009D5CDA"/>
    <w:rsid w:val="009D6100"/>
    <w:rsid w:val="009E0494"/>
    <w:rsid w:val="009E21E5"/>
    <w:rsid w:val="009E62CC"/>
    <w:rsid w:val="009E6FB6"/>
    <w:rsid w:val="009E7931"/>
    <w:rsid w:val="009F47C8"/>
    <w:rsid w:val="00A00758"/>
    <w:rsid w:val="00A02991"/>
    <w:rsid w:val="00A04B7E"/>
    <w:rsid w:val="00A05A27"/>
    <w:rsid w:val="00A05CFB"/>
    <w:rsid w:val="00A0750E"/>
    <w:rsid w:val="00A12F74"/>
    <w:rsid w:val="00A2180B"/>
    <w:rsid w:val="00A239F4"/>
    <w:rsid w:val="00A300AF"/>
    <w:rsid w:val="00A32063"/>
    <w:rsid w:val="00A32D9F"/>
    <w:rsid w:val="00A34E99"/>
    <w:rsid w:val="00A350F8"/>
    <w:rsid w:val="00A415CF"/>
    <w:rsid w:val="00A42331"/>
    <w:rsid w:val="00A44F3F"/>
    <w:rsid w:val="00A45C86"/>
    <w:rsid w:val="00A4680F"/>
    <w:rsid w:val="00A478A8"/>
    <w:rsid w:val="00A509A5"/>
    <w:rsid w:val="00A51C37"/>
    <w:rsid w:val="00A54DFD"/>
    <w:rsid w:val="00A5635C"/>
    <w:rsid w:val="00A57BAE"/>
    <w:rsid w:val="00A62033"/>
    <w:rsid w:val="00A63ABC"/>
    <w:rsid w:val="00A648F5"/>
    <w:rsid w:val="00A65F20"/>
    <w:rsid w:val="00A67D16"/>
    <w:rsid w:val="00A7026A"/>
    <w:rsid w:val="00A70A07"/>
    <w:rsid w:val="00A76917"/>
    <w:rsid w:val="00A8048B"/>
    <w:rsid w:val="00A86587"/>
    <w:rsid w:val="00A8768B"/>
    <w:rsid w:val="00A901D7"/>
    <w:rsid w:val="00A916A3"/>
    <w:rsid w:val="00A91D5A"/>
    <w:rsid w:val="00A92627"/>
    <w:rsid w:val="00A9695F"/>
    <w:rsid w:val="00A97000"/>
    <w:rsid w:val="00A97819"/>
    <w:rsid w:val="00AB3809"/>
    <w:rsid w:val="00AB3A8D"/>
    <w:rsid w:val="00AB6D51"/>
    <w:rsid w:val="00AB791D"/>
    <w:rsid w:val="00AC17D0"/>
    <w:rsid w:val="00AC1B30"/>
    <w:rsid w:val="00AC275E"/>
    <w:rsid w:val="00AC5373"/>
    <w:rsid w:val="00AC681D"/>
    <w:rsid w:val="00AC76EB"/>
    <w:rsid w:val="00AC7EF8"/>
    <w:rsid w:val="00AD52C8"/>
    <w:rsid w:val="00AD534F"/>
    <w:rsid w:val="00AD54CF"/>
    <w:rsid w:val="00AD55DA"/>
    <w:rsid w:val="00AE368B"/>
    <w:rsid w:val="00AE72A7"/>
    <w:rsid w:val="00AF576D"/>
    <w:rsid w:val="00B03E3F"/>
    <w:rsid w:val="00B1059C"/>
    <w:rsid w:val="00B111F9"/>
    <w:rsid w:val="00B12AAE"/>
    <w:rsid w:val="00B149B2"/>
    <w:rsid w:val="00B15529"/>
    <w:rsid w:val="00B221DC"/>
    <w:rsid w:val="00B22F9A"/>
    <w:rsid w:val="00B24B2F"/>
    <w:rsid w:val="00B26760"/>
    <w:rsid w:val="00B30785"/>
    <w:rsid w:val="00B323B8"/>
    <w:rsid w:val="00B36594"/>
    <w:rsid w:val="00B37149"/>
    <w:rsid w:val="00B407DC"/>
    <w:rsid w:val="00B415A7"/>
    <w:rsid w:val="00B41A37"/>
    <w:rsid w:val="00B44C31"/>
    <w:rsid w:val="00B45E47"/>
    <w:rsid w:val="00B46CCE"/>
    <w:rsid w:val="00B52181"/>
    <w:rsid w:val="00B55BC1"/>
    <w:rsid w:val="00B64A33"/>
    <w:rsid w:val="00B677EF"/>
    <w:rsid w:val="00B72BF6"/>
    <w:rsid w:val="00B7361C"/>
    <w:rsid w:val="00B73F31"/>
    <w:rsid w:val="00B77831"/>
    <w:rsid w:val="00B80FDD"/>
    <w:rsid w:val="00B815F5"/>
    <w:rsid w:val="00B83327"/>
    <w:rsid w:val="00B8584C"/>
    <w:rsid w:val="00B87216"/>
    <w:rsid w:val="00B903BA"/>
    <w:rsid w:val="00BA4F35"/>
    <w:rsid w:val="00BA6F13"/>
    <w:rsid w:val="00BB07E4"/>
    <w:rsid w:val="00BB4F76"/>
    <w:rsid w:val="00BB5C69"/>
    <w:rsid w:val="00BB6B71"/>
    <w:rsid w:val="00BC0766"/>
    <w:rsid w:val="00BC12EF"/>
    <w:rsid w:val="00BC194C"/>
    <w:rsid w:val="00BC29EE"/>
    <w:rsid w:val="00BC3388"/>
    <w:rsid w:val="00BC4668"/>
    <w:rsid w:val="00BD4ADC"/>
    <w:rsid w:val="00BD7FE2"/>
    <w:rsid w:val="00BE2D69"/>
    <w:rsid w:val="00BE3937"/>
    <w:rsid w:val="00BE421E"/>
    <w:rsid w:val="00BE6597"/>
    <w:rsid w:val="00BE7EB2"/>
    <w:rsid w:val="00BF4397"/>
    <w:rsid w:val="00BF5ED7"/>
    <w:rsid w:val="00BF6CEE"/>
    <w:rsid w:val="00BF7EA3"/>
    <w:rsid w:val="00C11F81"/>
    <w:rsid w:val="00C14F09"/>
    <w:rsid w:val="00C152C7"/>
    <w:rsid w:val="00C1590A"/>
    <w:rsid w:val="00C16711"/>
    <w:rsid w:val="00C167CD"/>
    <w:rsid w:val="00C214E1"/>
    <w:rsid w:val="00C2178E"/>
    <w:rsid w:val="00C24021"/>
    <w:rsid w:val="00C24324"/>
    <w:rsid w:val="00C25F1E"/>
    <w:rsid w:val="00C332A2"/>
    <w:rsid w:val="00C338B9"/>
    <w:rsid w:val="00C33F13"/>
    <w:rsid w:val="00C34906"/>
    <w:rsid w:val="00C40FCA"/>
    <w:rsid w:val="00C41B46"/>
    <w:rsid w:val="00C43100"/>
    <w:rsid w:val="00C43AFD"/>
    <w:rsid w:val="00C4581F"/>
    <w:rsid w:val="00C46350"/>
    <w:rsid w:val="00C47DDD"/>
    <w:rsid w:val="00C47FCD"/>
    <w:rsid w:val="00C50EE7"/>
    <w:rsid w:val="00C53D1F"/>
    <w:rsid w:val="00C54A97"/>
    <w:rsid w:val="00C571FE"/>
    <w:rsid w:val="00C5737C"/>
    <w:rsid w:val="00C62201"/>
    <w:rsid w:val="00C627EC"/>
    <w:rsid w:val="00C714C3"/>
    <w:rsid w:val="00C73945"/>
    <w:rsid w:val="00C80567"/>
    <w:rsid w:val="00C835CA"/>
    <w:rsid w:val="00C846F5"/>
    <w:rsid w:val="00C8555E"/>
    <w:rsid w:val="00C96775"/>
    <w:rsid w:val="00C96F88"/>
    <w:rsid w:val="00CA054A"/>
    <w:rsid w:val="00CA2DB6"/>
    <w:rsid w:val="00CA3B9D"/>
    <w:rsid w:val="00CA6214"/>
    <w:rsid w:val="00CA7167"/>
    <w:rsid w:val="00CA7C40"/>
    <w:rsid w:val="00CB1BFB"/>
    <w:rsid w:val="00CB3D4A"/>
    <w:rsid w:val="00CB3F17"/>
    <w:rsid w:val="00CB4BCA"/>
    <w:rsid w:val="00CB5086"/>
    <w:rsid w:val="00CB67F4"/>
    <w:rsid w:val="00CC1080"/>
    <w:rsid w:val="00CC1A29"/>
    <w:rsid w:val="00CD189F"/>
    <w:rsid w:val="00CD3AC9"/>
    <w:rsid w:val="00CD59EE"/>
    <w:rsid w:val="00CE07FB"/>
    <w:rsid w:val="00CE366C"/>
    <w:rsid w:val="00CF0976"/>
    <w:rsid w:val="00CF282D"/>
    <w:rsid w:val="00CF487B"/>
    <w:rsid w:val="00CF4DD2"/>
    <w:rsid w:val="00CF532F"/>
    <w:rsid w:val="00CF7AAD"/>
    <w:rsid w:val="00D01EB0"/>
    <w:rsid w:val="00D0539E"/>
    <w:rsid w:val="00D06DD8"/>
    <w:rsid w:val="00D112A1"/>
    <w:rsid w:val="00D12C32"/>
    <w:rsid w:val="00D1530F"/>
    <w:rsid w:val="00D1607F"/>
    <w:rsid w:val="00D167C1"/>
    <w:rsid w:val="00D25BF3"/>
    <w:rsid w:val="00D3108C"/>
    <w:rsid w:val="00D315B1"/>
    <w:rsid w:val="00D33A1C"/>
    <w:rsid w:val="00D35914"/>
    <w:rsid w:val="00D36B41"/>
    <w:rsid w:val="00D36F96"/>
    <w:rsid w:val="00D42A93"/>
    <w:rsid w:val="00D43D10"/>
    <w:rsid w:val="00D4466A"/>
    <w:rsid w:val="00D566B2"/>
    <w:rsid w:val="00D6081D"/>
    <w:rsid w:val="00D613BE"/>
    <w:rsid w:val="00D61C70"/>
    <w:rsid w:val="00D639A9"/>
    <w:rsid w:val="00D77A49"/>
    <w:rsid w:val="00D81B41"/>
    <w:rsid w:val="00D82C2C"/>
    <w:rsid w:val="00D877D6"/>
    <w:rsid w:val="00D92B42"/>
    <w:rsid w:val="00D94B55"/>
    <w:rsid w:val="00D95903"/>
    <w:rsid w:val="00D95A05"/>
    <w:rsid w:val="00D96EAA"/>
    <w:rsid w:val="00D96FC6"/>
    <w:rsid w:val="00DA4346"/>
    <w:rsid w:val="00DA44B7"/>
    <w:rsid w:val="00DA6C71"/>
    <w:rsid w:val="00DA73FC"/>
    <w:rsid w:val="00DB0D8B"/>
    <w:rsid w:val="00DB118B"/>
    <w:rsid w:val="00DB32F4"/>
    <w:rsid w:val="00DB475A"/>
    <w:rsid w:val="00DB731C"/>
    <w:rsid w:val="00DB7A1B"/>
    <w:rsid w:val="00DC3B31"/>
    <w:rsid w:val="00DC5EF7"/>
    <w:rsid w:val="00DD1A29"/>
    <w:rsid w:val="00DD6D84"/>
    <w:rsid w:val="00DE0474"/>
    <w:rsid w:val="00DE1F77"/>
    <w:rsid w:val="00DE5A1A"/>
    <w:rsid w:val="00DF44B0"/>
    <w:rsid w:val="00DF7AA8"/>
    <w:rsid w:val="00E00C8E"/>
    <w:rsid w:val="00E04C15"/>
    <w:rsid w:val="00E10857"/>
    <w:rsid w:val="00E16D94"/>
    <w:rsid w:val="00E213A9"/>
    <w:rsid w:val="00E22467"/>
    <w:rsid w:val="00E31A44"/>
    <w:rsid w:val="00E323CE"/>
    <w:rsid w:val="00E33CCE"/>
    <w:rsid w:val="00E34AC3"/>
    <w:rsid w:val="00E51B7E"/>
    <w:rsid w:val="00E54AFD"/>
    <w:rsid w:val="00E56671"/>
    <w:rsid w:val="00E574CD"/>
    <w:rsid w:val="00E6078D"/>
    <w:rsid w:val="00E61EBC"/>
    <w:rsid w:val="00E6314F"/>
    <w:rsid w:val="00E670A6"/>
    <w:rsid w:val="00E719FB"/>
    <w:rsid w:val="00E71D80"/>
    <w:rsid w:val="00E72E20"/>
    <w:rsid w:val="00E73215"/>
    <w:rsid w:val="00E76607"/>
    <w:rsid w:val="00E820A9"/>
    <w:rsid w:val="00E83384"/>
    <w:rsid w:val="00E85844"/>
    <w:rsid w:val="00E951B3"/>
    <w:rsid w:val="00EA06A9"/>
    <w:rsid w:val="00EA09E3"/>
    <w:rsid w:val="00EA7EF2"/>
    <w:rsid w:val="00EA7F02"/>
    <w:rsid w:val="00EB0A21"/>
    <w:rsid w:val="00EB6B1B"/>
    <w:rsid w:val="00EC19A5"/>
    <w:rsid w:val="00EC3F66"/>
    <w:rsid w:val="00EC4209"/>
    <w:rsid w:val="00EC42A5"/>
    <w:rsid w:val="00EC446D"/>
    <w:rsid w:val="00ED0DB5"/>
    <w:rsid w:val="00ED4826"/>
    <w:rsid w:val="00ED4B4A"/>
    <w:rsid w:val="00ED50F9"/>
    <w:rsid w:val="00ED6A26"/>
    <w:rsid w:val="00EE7EBD"/>
    <w:rsid w:val="00EF0934"/>
    <w:rsid w:val="00EF1C32"/>
    <w:rsid w:val="00EF3E59"/>
    <w:rsid w:val="00F0061B"/>
    <w:rsid w:val="00F014EA"/>
    <w:rsid w:val="00F02109"/>
    <w:rsid w:val="00F06072"/>
    <w:rsid w:val="00F06C02"/>
    <w:rsid w:val="00F10C11"/>
    <w:rsid w:val="00F13DC1"/>
    <w:rsid w:val="00F15DBC"/>
    <w:rsid w:val="00F16346"/>
    <w:rsid w:val="00F17D28"/>
    <w:rsid w:val="00F20E18"/>
    <w:rsid w:val="00F21524"/>
    <w:rsid w:val="00F2730F"/>
    <w:rsid w:val="00F33BBA"/>
    <w:rsid w:val="00F34D11"/>
    <w:rsid w:val="00F42979"/>
    <w:rsid w:val="00F54053"/>
    <w:rsid w:val="00F569D5"/>
    <w:rsid w:val="00F57476"/>
    <w:rsid w:val="00F60A5A"/>
    <w:rsid w:val="00F62150"/>
    <w:rsid w:val="00F6262C"/>
    <w:rsid w:val="00F62D16"/>
    <w:rsid w:val="00F63EEC"/>
    <w:rsid w:val="00F64BD3"/>
    <w:rsid w:val="00F72593"/>
    <w:rsid w:val="00F75350"/>
    <w:rsid w:val="00F779B4"/>
    <w:rsid w:val="00F81C40"/>
    <w:rsid w:val="00F83CBB"/>
    <w:rsid w:val="00F86E63"/>
    <w:rsid w:val="00F91754"/>
    <w:rsid w:val="00F91ABA"/>
    <w:rsid w:val="00F9535F"/>
    <w:rsid w:val="00F97849"/>
    <w:rsid w:val="00FA373F"/>
    <w:rsid w:val="00FA7FDA"/>
    <w:rsid w:val="00FB2127"/>
    <w:rsid w:val="00FB257F"/>
    <w:rsid w:val="00FB268F"/>
    <w:rsid w:val="00FB2BEE"/>
    <w:rsid w:val="00FC663D"/>
    <w:rsid w:val="00FC6E26"/>
    <w:rsid w:val="00FD150B"/>
    <w:rsid w:val="00FD1C34"/>
    <w:rsid w:val="00FD200C"/>
    <w:rsid w:val="00FD5D64"/>
    <w:rsid w:val="00FD79C1"/>
    <w:rsid w:val="00FE1074"/>
    <w:rsid w:val="00FE3DA4"/>
    <w:rsid w:val="00FF0D85"/>
    <w:rsid w:val="00FF2951"/>
    <w:rsid w:val="00FF7072"/>
    <w:rsid w:val="01141165"/>
    <w:rsid w:val="01E70222"/>
    <w:rsid w:val="02954528"/>
    <w:rsid w:val="02DD612E"/>
    <w:rsid w:val="02F0352F"/>
    <w:rsid w:val="04176EE0"/>
    <w:rsid w:val="04A42800"/>
    <w:rsid w:val="0580326D"/>
    <w:rsid w:val="06DA075B"/>
    <w:rsid w:val="08AC6127"/>
    <w:rsid w:val="091D0DD3"/>
    <w:rsid w:val="0A6F4F3D"/>
    <w:rsid w:val="0B301291"/>
    <w:rsid w:val="0D5E3032"/>
    <w:rsid w:val="0E6A6868"/>
    <w:rsid w:val="0E81187A"/>
    <w:rsid w:val="0ECA7662"/>
    <w:rsid w:val="0EE72544"/>
    <w:rsid w:val="0EEF3211"/>
    <w:rsid w:val="0F046CBD"/>
    <w:rsid w:val="0FAE18FE"/>
    <w:rsid w:val="1010343F"/>
    <w:rsid w:val="10192451"/>
    <w:rsid w:val="103F423A"/>
    <w:rsid w:val="143D4D2B"/>
    <w:rsid w:val="161E0BD1"/>
    <w:rsid w:val="17591B70"/>
    <w:rsid w:val="194D1260"/>
    <w:rsid w:val="19A52E4A"/>
    <w:rsid w:val="1AAB5CB2"/>
    <w:rsid w:val="1ABD1885"/>
    <w:rsid w:val="1AD07668"/>
    <w:rsid w:val="1C4E3B02"/>
    <w:rsid w:val="202F7912"/>
    <w:rsid w:val="20484530"/>
    <w:rsid w:val="23797CD3"/>
    <w:rsid w:val="23C921A8"/>
    <w:rsid w:val="24503D2E"/>
    <w:rsid w:val="246F652F"/>
    <w:rsid w:val="25E92311"/>
    <w:rsid w:val="26962499"/>
    <w:rsid w:val="26EF0A4D"/>
    <w:rsid w:val="27321A96"/>
    <w:rsid w:val="27716A62"/>
    <w:rsid w:val="280643E0"/>
    <w:rsid w:val="2939710B"/>
    <w:rsid w:val="29EC23D0"/>
    <w:rsid w:val="2A116C27"/>
    <w:rsid w:val="2A206A34"/>
    <w:rsid w:val="2B577D1D"/>
    <w:rsid w:val="2C9003DF"/>
    <w:rsid w:val="2C9E7F33"/>
    <w:rsid w:val="2CD5539D"/>
    <w:rsid w:val="2EEA0AAA"/>
    <w:rsid w:val="30CA112B"/>
    <w:rsid w:val="310B6D6E"/>
    <w:rsid w:val="34B73B03"/>
    <w:rsid w:val="35100708"/>
    <w:rsid w:val="35506D4B"/>
    <w:rsid w:val="356E485C"/>
    <w:rsid w:val="36C02C1A"/>
    <w:rsid w:val="380F5D47"/>
    <w:rsid w:val="38887767"/>
    <w:rsid w:val="3ABE1B66"/>
    <w:rsid w:val="3ADD4E79"/>
    <w:rsid w:val="3B47283E"/>
    <w:rsid w:val="3BF35840"/>
    <w:rsid w:val="3D8F1598"/>
    <w:rsid w:val="3E0A05CD"/>
    <w:rsid w:val="411F25A1"/>
    <w:rsid w:val="41415C41"/>
    <w:rsid w:val="44B21A66"/>
    <w:rsid w:val="458C3D92"/>
    <w:rsid w:val="4642364B"/>
    <w:rsid w:val="46E62BF9"/>
    <w:rsid w:val="47E86474"/>
    <w:rsid w:val="48DB1EBA"/>
    <w:rsid w:val="49584F34"/>
    <w:rsid w:val="4A6E53EC"/>
    <w:rsid w:val="4BBC79FC"/>
    <w:rsid w:val="4C4D2D4A"/>
    <w:rsid w:val="4D001B6A"/>
    <w:rsid w:val="4D913251"/>
    <w:rsid w:val="4DAF797F"/>
    <w:rsid w:val="4DE84AD8"/>
    <w:rsid w:val="4E485577"/>
    <w:rsid w:val="4EF15C0F"/>
    <w:rsid w:val="4F532D2F"/>
    <w:rsid w:val="4F7F321A"/>
    <w:rsid w:val="51025A95"/>
    <w:rsid w:val="521B67F5"/>
    <w:rsid w:val="52374280"/>
    <w:rsid w:val="52BB031B"/>
    <w:rsid w:val="536270DB"/>
    <w:rsid w:val="53C927E1"/>
    <w:rsid w:val="549E2395"/>
    <w:rsid w:val="5540344C"/>
    <w:rsid w:val="558255F9"/>
    <w:rsid w:val="56A56099"/>
    <w:rsid w:val="57F51F09"/>
    <w:rsid w:val="592A392E"/>
    <w:rsid w:val="598F4A10"/>
    <w:rsid w:val="599124C8"/>
    <w:rsid w:val="5D222347"/>
    <w:rsid w:val="5E3D70F6"/>
    <w:rsid w:val="5F8C5BE3"/>
    <w:rsid w:val="60086116"/>
    <w:rsid w:val="60C95281"/>
    <w:rsid w:val="60E90E3C"/>
    <w:rsid w:val="624D53FA"/>
    <w:rsid w:val="636F31DD"/>
    <w:rsid w:val="63E0335A"/>
    <w:rsid w:val="641F3CB4"/>
    <w:rsid w:val="655D0DDA"/>
    <w:rsid w:val="65B5753E"/>
    <w:rsid w:val="662D3578"/>
    <w:rsid w:val="6897117D"/>
    <w:rsid w:val="692B0C6B"/>
    <w:rsid w:val="69877444"/>
    <w:rsid w:val="6ACB3360"/>
    <w:rsid w:val="6BAE1754"/>
    <w:rsid w:val="6BD76BCD"/>
    <w:rsid w:val="6C3A079D"/>
    <w:rsid w:val="6C895281"/>
    <w:rsid w:val="6CC56480"/>
    <w:rsid w:val="6D5D0BE7"/>
    <w:rsid w:val="6E662F82"/>
    <w:rsid w:val="6E9F3DBD"/>
    <w:rsid w:val="6EB34837"/>
    <w:rsid w:val="71303F5E"/>
    <w:rsid w:val="71722787"/>
    <w:rsid w:val="739C58A1"/>
    <w:rsid w:val="743B3304"/>
    <w:rsid w:val="75842A89"/>
    <w:rsid w:val="76B850E0"/>
    <w:rsid w:val="770E4D00"/>
    <w:rsid w:val="778B00FF"/>
    <w:rsid w:val="77EF68E0"/>
    <w:rsid w:val="78922979"/>
    <w:rsid w:val="78DA2DCC"/>
    <w:rsid w:val="78FD327E"/>
    <w:rsid w:val="797572B9"/>
    <w:rsid w:val="798E3ED6"/>
    <w:rsid w:val="79A66B9A"/>
    <w:rsid w:val="7A813FB4"/>
    <w:rsid w:val="7AAC3494"/>
    <w:rsid w:val="7B7A5DBB"/>
    <w:rsid w:val="7BC43F18"/>
    <w:rsid w:val="7DA10183"/>
    <w:rsid w:val="7E8D0C00"/>
    <w:rsid w:val="7F923E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numPr>
        <w:ilvl w:val="0"/>
        <w:numId w:val="1"/>
      </w:numPr>
      <w:spacing w:before="240" w:after="60"/>
      <w:outlineLvl w:val="0"/>
    </w:pPr>
    <w:rPr>
      <w:rFonts w:ascii="Futura Bk" w:hAnsi="Futura Bk" w:eastAsia="宋体"/>
      <w:b/>
      <w:kern w:val="28"/>
      <w:sz w:val="28"/>
    </w:rPr>
  </w:style>
  <w:style w:type="paragraph" w:styleId="3">
    <w:name w:val="heading 2"/>
    <w:basedOn w:val="1"/>
    <w:next w:val="1"/>
    <w:link w:val="23"/>
    <w:unhideWhenUsed/>
    <w:qFormat/>
    <w:uiPriority w:val="0"/>
    <w:pPr>
      <w:keepNext/>
      <w:numPr>
        <w:ilvl w:val="1"/>
        <w:numId w:val="1"/>
      </w:numPr>
      <w:spacing w:before="240" w:after="60"/>
      <w:outlineLvl w:val="1"/>
    </w:pPr>
    <w:rPr>
      <w:rFonts w:ascii="Futura Bk" w:hAnsi="Futura Bk" w:eastAsia="宋体"/>
      <w:b/>
      <w:sz w:val="24"/>
    </w:rPr>
  </w:style>
  <w:style w:type="paragraph" w:styleId="4">
    <w:name w:val="heading 3"/>
    <w:basedOn w:val="1"/>
    <w:next w:val="1"/>
    <w:link w:val="27"/>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qFormat/>
    <w:uiPriority w:val="0"/>
    <w:pPr>
      <w:spacing w:beforeLines="50"/>
      <w:ind w:firstLine="200" w:firstLineChars="200"/>
    </w:pPr>
    <w:rPr>
      <w:rFonts w:ascii="Times New Roman" w:hAnsi="Times New Roman" w:eastAsia="宋体" w:cs="Times New Roman"/>
      <w:kern w:val="0"/>
      <w:sz w:val="24"/>
      <w:szCs w:val="20"/>
      <w:lang w:val="en-US" w:eastAsia="zh-CN" w:bidi="ar-SA"/>
    </w:rPr>
  </w:style>
  <w:style w:type="paragraph" w:styleId="6">
    <w:name w:val="Body Text Indent"/>
    <w:basedOn w:val="1"/>
    <w:link w:val="16"/>
    <w:qFormat/>
    <w:uiPriority w:val="0"/>
    <w:pPr>
      <w:spacing w:line="360" w:lineRule="auto"/>
      <w:ind w:left="130" w:leftChars="62" w:firstLine="390" w:firstLineChars="150"/>
    </w:pPr>
    <w:rPr>
      <w:rFonts w:ascii="宋体" w:hAnsi="Times New Roman" w:eastAsia="宋体" w:cs="Times New Roman"/>
      <w:spacing w:val="10"/>
      <w:sz w:val="24"/>
      <w:szCs w:val="20"/>
    </w:rPr>
  </w:style>
  <w:style w:type="paragraph" w:styleId="7">
    <w:name w:val="Balloon Text"/>
    <w:basedOn w:val="1"/>
    <w:link w:val="25"/>
    <w:semiHidden/>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link w:val="29"/>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1">
    <w:name w:val="Body Text Indent 3"/>
    <w:basedOn w:val="1"/>
    <w:qFormat/>
    <w:uiPriority w:val="99"/>
    <w:pPr>
      <w:adjustRightInd w:val="0"/>
      <w:ind w:left="735"/>
      <w:textAlignment w:val="baseline"/>
    </w:pPr>
    <w:rPr>
      <w:rFonts w:ascii="楷体_GB2312" w:eastAsia="楷体_GB2312" w:cs="楷体_GB2312"/>
      <w:kern w:val="0"/>
    </w:rPr>
  </w:style>
  <w:style w:type="paragraph" w:styleId="12">
    <w:name w:val="Title"/>
    <w:basedOn w:val="1"/>
    <w:next w:val="1"/>
    <w:link w:val="28"/>
    <w:qFormat/>
    <w:uiPriority w:val="10"/>
    <w:pPr>
      <w:spacing w:before="240" w:after="60"/>
      <w:jc w:val="center"/>
      <w:outlineLvl w:val="0"/>
    </w:pPr>
    <w:rPr>
      <w:rFonts w:eastAsia="宋体" w:asciiTheme="majorHAnsi" w:hAnsiTheme="majorHAnsi" w:cstheme="majorBidi"/>
      <w:b/>
      <w:bCs/>
      <w:sz w:val="32"/>
      <w:szCs w:val="32"/>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正文文本缩进 Char"/>
    <w:basedOn w:val="15"/>
    <w:link w:val="6"/>
    <w:qFormat/>
    <w:uiPriority w:val="0"/>
    <w:rPr>
      <w:rFonts w:ascii="宋体" w:hAnsi="Times New Roman" w:eastAsia="宋体" w:cs="Times New Roman"/>
      <w:spacing w:val="10"/>
      <w:sz w:val="24"/>
      <w:szCs w:val="20"/>
    </w:rPr>
  </w:style>
  <w:style w:type="paragraph" w:customStyle="1" w:styleId="17">
    <w:name w:val="列出段落1"/>
    <w:basedOn w:val="1"/>
    <w:qFormat/>
    <w:uiPriority w:val="34"/>
    <w:pPr>
      <w:ind w:firstLine="420" w:firstLineChars="200"/>
    </w:pPr>
    <w:rPr>
      <w:rFonts w:ascii="Times New Roman" w:hAnsi="Times New Roman" w:eastAsia="宋体" w:cs="Times New Roman"/>
      <w:snapToGrid w:val="0"/>
      <w:spacing w:val="-2"/>
      <w:kern w:val="0"/>
      <w:sz w:val="24"/>
      <w:szCs w:val="20"/>
    </w:rPr>
  </w:style>
  <w:style w:type="paragraph" w:customStyle="1" w:styleId="18">
    <w:name w:val="flNote"/>
    <w:basedOn w:val="1"/>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paragraph" w:styleId="19">
    <w:name w:val="List Paragraph"/>
    <w:basedOn w:val="1"/>
    <w:link w:val="24"/>
    <w:qFormat/>
    <w:uiPriority w:val="34"/>
    <w:pPr>
      <w:snapToGrid w:val="0"/>
      <w:ind w:firstLine="420" w:firstLineChars="200"/>
    </w:pPr>
    <w:rPr>
      <w:rFonts w:ascii="Times New Roman" w:hAnsi="Times New Roman" w:eastAsia="宋体" w:cs="Times New Roman"/>
      <w:spacing w:val="-2"/>
      <w:kern w:val="0"/>
      <w:sz w:val="24"/>
      <w:szCs w:val="20"/>
    </w:rPr>
  </w:style>
  <w:style w:type="character" w:customStyle="1" w:styleId="20">
    <w:name w:val="页眉 Char"/>
    <w:basedOn w:val="15"/>
    <w:link w:val="9"/>
    <w:qFormat/>
    <w:uiPriority w:val="99"/>
    <w:rPr>
      <w:sz w:val="18"/>
      <w:szCs w:val="18"/>
    </w:rPr>
  </w:style>
  <w:style w:type="character" w:customStyle="1" w:styleId="21">
    <w:name w:val="页脚 Char"/>
    <w:basedOn w:val="15"/>
    <w:link w:val="8"/>
    <w:qFormat/>
    <w:uiPriority w:val="99"/>
    <w:rPr>
      <w:sz w:val="18"/>
      <w:szCs w:val="18"/>
    </w:rPr>
  </w:style>
  <w:style w:type="character" w:customStyle="1" w:styleId="22">
    <w:name w:val="标题 1 Char1"/>
    <w:basedOn w:val="15"/>
    <w:link w:val="2"/>
    <w:qFormat/>
    <w:uiPriority w:val="0"/>
    <w:rPr>
      <w:rFonts w:ascii="Futura Bk" w:hAnsi="Futura Bk" w:eastAsia="宋体"/>
      <w:b/>
      <w:kern w:val="28"/>
      <w:sz w:val="28"/>
    </w:rPr>
  </w:style>
  <w:style w:type="character" w:customStyle="1" w:styleId="23">
    <w:name w:val="标题 2 Char"/>
    <w:basedOn w:val="15"/>
    <w:link w:val="3"/>
    <w:qFormat/>
    <w:uiPriority w:val="0"/>
    <w:rPr>
      <w:rFonts w:ascii="Futura Bk" w:hAnsi="Futura Bk" w:eastAsia="宋体"/>
      <w:b/>
      <w:sz w:val="24"/>
    </w:rPr>
  </w:style>
  <w:style w:type="character" w:customStyle="1" w:styleId="24">
    <w:name w:val="列出段落 Char"/>
    <w:link w:val="19"/>
    <w:qFormat/>
    <w:uiPriority w:val="34"/>
    <w:rPr>
      <w:rFonts w:ascii="Times New Roman" w:hAnsi="Times New Roman" w:eastAsia="宋体" w:cs="Times New Roman"/>
      <w:spacing w:val="-2"/>
      <w:kern w:val="0"/>
      <w:sz w:val="24"/>
      <w:szCs w:val="20"/>
    </w:rPr>
  </w:style>
  <w:style w:type="character" w:customStyle="1" w:styleId="25">
    <w:name w:val="批注框文本 Char"/>
    <w:basedOn w:val="15"/>
    <w:link w:val="7"/>
    <w:semiHidden/>
    <w:qFormat/>
    <w:uiPriority w:val="99"/>
    <w:rPr>
      <w:sz w:val="18"/>
      <w:szCs w:val="18"/>
    </w:rPr>
  </w:style>
  <w:style w:type="paragraph" w:styleId="2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7">
    <w:name w:val="标题 3 Char"/>
    <w:basedOn w:val="15"/>
    <w:link w:val="4"/>
    <w:qFormat/>
    <w:uiPriority w:val="9"/>
    <w:rPr>
      <w:b/>
      <w:bCs/>
      <w:sz w:val="32"/>
      <w:szCs w:val="32"/>
    </w:rPr>
  </w:style>
  <w:style w:type="character" w:customStyle="1" w:styleId="28">
    <w:name w:val="标题 Char"/>
    <w:basedOn w:val="15"/>
    <w:link w:val="12"/>
    <w:qFormat/>
    <w:uiPriority w:val="10"/>
    <w:rPr>
      <w:rFonts w:eastAsia="宋体" w:asciiTheme="majorHAnsi" w:hAnsiTheme="majorHAnsi" w:cstheme="majorBidi"/>
      <w:b/>
      <w:bCs/>
      <w:sz w:val="32"/>
      <w:szCs w:val="32"/>
    </w:rPr>
  </w:style>
  <w:style w:type="character" w:customStyle="1" w:styleId="29">
    <w:name w:val="副标题 Char"/>
    <w:basedOn w:val="15"/>
    <w:link w:val="10"/>
    <w:qFormat/>
    <w:uiPriority w:val="11"/>
    <w:rPr>
      <w:rFonts w:eastAsia="宋体" w:asciiTheme="majorHAnsi" w:hAnsiTheme="majorHAnsi" w:cstheme="majorBidi"/>
      <w:b/>
      <w:bCs/>
      <w:kern w:val="28"/>
      <w:sz w:val="32"/>
      <w:szCs w:val="32"/>
    </w:rPr>
  </w:style>
  <w:style w:type="paragraph" w:customStyle="1" w:styleId="30">
    <w:name w:val="Default"/>
    <w:qFormat/>
    <w:uiPriority w:val="0"/>
    <w:pPr>
      <w:widowControl w:val="0"/>
      <w:autoSpaceDE w:val="0"/>
      <w:autoSpaceDN w:val="0"/>
      <w:adjustRightInd w:val="0"/>
    </w:pPr>
    <w:rPr>
      <w:rFonts w:ascii="Wingdings" w:hAnsi="Wingdings" w:cs="Wingdings" w:eastAsiaTheme="minorEastAsia"/>
      <w:color w:val="000000"/>
      <w:kern w:val="0"/>
      <w:sz w:val="24"/>
      <w:szCs w:val="24"/>
      <w:lang w:val="en-US" w:eastAsia="zh-CN" w:bidi="ar-SA"/>
    </w:rPr>
  </w:style>
  <w:style w:type="table" w:customStyle="1" w:styleId="31">
    <w:name w:val="网格型1"/>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
    <w:name w:val="网格型2"/>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
    <w:name w:val="网格型3"/>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
    <w:name w:val="标题 1 Char"/>
    <w:qFormat/>
    <w:locked/>
    <w:uiPriority w:val="9"/>
    <w:rPr>
      <w:rFonts w:eastAsia="宋体"/>
      <w:b/>
      <w:kern w:val="44"/>
      <w:sz w:val="44"/>
      <w:lang w:val="en-US" w:eastAsia="zh-CN" w:bidi="ar-SA"/>
    </w:rPr>
  </w:style>
  <w:style w:type="character" w:customStyle="1" w:styleId="35">
    <w:name w:val="font31"/>
    <w:basedOn w:val="15"/>
    <w:qFormat/>
    <w:uiPriority w:val="0"/>
    <w:rPr>
      <w:rFonts w:hint="eastAsia" w:ascii="宋体" w:hAnsi="宋体" w:eastAsia="宋体" w:cs="宋体"/>
      <w:strike/>
      <w:color w:val="FF0000"/>
      <w:sz w:val="24"/>
      <w:szCs w:val="24"/>
    </w:rPr>
  </w:style>
  <w:style w:type="character" w:customStyle="1" w:styleId="36">
    <w:name w:val="font41"/>
    <w:basedOn w:val="15"/>
    <w:qFormat/>
    <w:uiPriority w:val="0"/>
    <w:rPr>
      <w:rFonts w:hint="eastAsia" w:ascii="宋体" w:hAnsi="宋体" w:eastAsia="宋体" w:cs="宋体"/>
      <w:color w:val="0000FF"/>
      <w:sz w:val="24"/>
      <w:szCs w:val="24"/>
      <w:u w:val="single"/>
    </w:rPr>
  </w:style>
  <w:style w:type="character" w:customStyle="1" w:styleId="37">
    <w:name w:val="font21"/>
    <w:basedOn w:val="1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612</Words>
  <Characters>3491</Characters>
  <Lines>29</Lines>
  <Paragraphs>8</Paragraphs>
  <TotalTime>4</TotalTime>
  <ScaleCrop>false</ScaleCrop>
  <LinksUpToDate>false</LinksUpToDate>
  <CharactersWithSpaces>4095</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2020-06-03T07:59:00Z</dcterms:created>
  <dc:creator>lshwang</dc:creator>
  <cp:lastModifiedBy>吕蕾丝</cp:lastModifiedBy>
  <cp:lastPrinted>2017-04-26T06:26:00Z</cp:lastPrinted>
  <dcterms:modified xsi:type="dcterms:W3CDTF">2024-04-09T02:41:55Z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90114E24797D4C41B4CA5D7601D75F36_12</vt:lpwstr>
  </property>
</Properties>
</file>