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黑体" w:hAnsi="黑体" w:eastAsia="黑体"/>
          <w:sz w:val="36"/>
          <w:szCs w:val="36"/>
        </w:rPr>
      </w:pPr>
      <w:r>
        <w:rPr>
          <w:rFonts w:hint="eastAsia" w:ascii="黑体" w:hAnsi="黑体" w:eastAsia="黑体"/>
          <w:sz w:val="36"/>
          <w:szCs w:val="36"/>
        </w:rPr>
        <w:t>上海黄金交易所上海金集中定价交易业务规则</w:t>
      </w:r>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黑体" w:hAnsi="黑体" w:eastAsia="黑体"/>
          <w:sz w:val="30"/>
          <w:szCs w:val="30"/>
        </w:rPr>
      </w:pPr>
      <w:bookmarkStart w:id="0" w:name="第一章"/>
      <w:bookmarkEnd w:id="0"/>
      <w:r>
        <w:rPr>
          <w:rFonts w:hint="eastAsia" w:ascii="黑体" w:hAnsi="黑体" w:eastAsia="黑体"/>
          <w:sz w:val="30"/>
          <w:szCs w:val="30"/>
        </w:rPr>
        <w:t>（试    行）</w:t>
      </w:r>
    </w:p>
    <w:p>
      <w:pPr>
        <w:pBdr>
          <w:top w:val="none" w:color="000000" w:sz="0" w:space="0"/>
          <w:left w:val="none" w:color="000000" w:sz="0" w:space="0"/>
          <w:bottom w:val="none" w:color="000000" w:sz="0" w:space="0"/>
          <w:right w:val="none" w:color="000000" w:sz="0" w:space="0"/>
        </w:pBdr>
        <w:autoSpaceDN w:val="0"/>
        <w:snapToGrid w:val="0"/>
        <w:spacing w:line="360" w:lineRule="auto"/>
        <w:ind w:firstLine="288" w:firstLineChars="96"/>
        <w:jc w:val="center"/>
        <w:rPr>
          <w:rFonts w:ascii="黑体" w:hAnsi="黑体" w:eastAsia="黑体"/>
          <w:sz w:val="30"/>
          <w:szCs w:val="30"/>
        </w:rPr>
      </w:pPr>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仿宋" w:hAnsi="仿宋" w:eastAsia="仿宋" w:cs="仿宋"/>
          <w:sz w:val="28"/>
          <w:szCs w:val="28"/>
        </w:rPr>
      </w:pPr>
      <w:r>
        <w:rPr>
          <w:rFonts w:ascii="黑体" w:hAnsi="黑体" w:eastAsia="黑体"/>
          <w:sz w:val="30"/>
          <w:szCs w:val="30"/>
        </w:rPr>
        <w:t>第一章  总  则</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424" w:firstLineChars="156"/>
        <w:rPr>
          <w:rFonts w:ascii="仿宋" w:hAnsi="仿宋" w:eastAsia="仿宋" w:cs="仿宋"/>
          <w:spacing w:val="-4"/>
          <w:sz w:val="28"/>
          <w:szCs w:val="28"/>
        </w:rPr>
      </w:pPr>
      <w:r>
        <w:rPr>
          <w:rFonts w:hint="eastAsia" w:ascii="仿宋" w:hAnsi="仿宋" w:eastAsia="仿宋" w:cs="仿宋"/>
          <w:spacing w:val="-4"/>
          <w:sz w:val="28"/>
          <w:szCs w:val="28"/>
        </w:rPr>
        <w:t xml:space="preserve"> 为规范上海金集中定价交易，维护交易各方的合法权益，根据《上海黄金交易所章程》和《上海黄金交易所现货交易规则》等有关规定制定本规则。上海金集中定价交易</w:t>
      </w:r>
      <w:r>
        <w:rPr>
          <w:rFonts w:hint="eastAsia" w:ascii="仿宋" w:hAnsi="仿宋" w:eastAsia="仿宋" w:cs="仿宋"/>
          <w:sz w:val="28"/>
          <w:szCs w:val="28"/>
        </w:rPr>
        <w:t>接受中国人民银行的监管。</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413" w:firstLineChars="152"/>
        <w:rPr>
          <w:rFonts w:ascii="仿宋" w:hAnsi="仿宋" w:eastAsia="仿宋" w:cs="仿宋"/>
          <w:sz w:val="28"/>
          <w:szCs w:val="28"/>
        </w:rPr>
      </w:pPr>
      <w:r>
        <w:rPr>
          <w:rFonts w:hint="eastAsia" w:ascii="仿宋" w:hAnsi="仿宋" w:eastAsia="仿宋" w:cs="仿宋"/>
          <w:spacing w:val="-4"/>
          <w:sz w:val="28"/>
          <w:szCs w:val="28"/>
        </w:rPr>
        <w:t>上海黄金交易所（以下简称“交易所”）</w:t>
      </w:r>
      <w:r>
        <w:rPr>
          <w:rFonts w:hint="eastAsia" w:ascii="仿宋" w:hAnsi="仿宋" w:eastAsia="仿宋" w:cs="仿宋"/>
          <w:sz w:val="28"/>
          <w:szCs w:val="28"/>
        </w:rPr>
        <w:t>遵循公平、公开、公正和诚信的原则，组织集中定价的交易、清算和交割。</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426"/>
        <w:rPr>
          <w:rFonts w:ascii="仿宋" w:hAnsi="仿宋" w:eastAsia="仿宋" w:cs="仿宋"/>
          <w:spacing w:val="-4"/>
          <w:sz w:val="28"/>
          <w:szCs w:val="28"/>
        </w:rPr>
      </w:pPr>
      <w:r>
        <w:rPr>
          <w:rFonts w:hint="eastAsia" w:ascii="仿宋" w:hAnsi="仿宋" w:eastAsia="仿宋" w:cs="仿宋"/>
          <w:spacing w:val="-4"/>
          <w:sz w:val="28"/>
          <w:szCs w:val="28"/>
        </w:rPr>
        <w:t>上海金集中定价交易是指市场参与者在交易所平台上，按照</w:t>
      </w:r>
      <w:r>
        <w:rPr>
          <w:rFonts w:hint="eastAsia" w:ascii="仿宋" w:hAnsi="仿宋" w:eastAsia="仿宋" w:cs="仿宋"/>
          <w:sz w:val="28"/>
          <w:szCs w:val="28"/>
        </w:rPr>
        <w:t>以价询量、数量撮合的</w:t>
      </w:r>
      <w:r>
        <w:rPr>
          <w:rFonts w:hint="eastAsia" w:ascii="仿宋" w:hAnsi="仿宋" w:eastAsia="仿宋" w:cs="仿宋"/>
          <w:spacing w:val="-4"/>
          <w:sz w:val="28"/>
          <w:szCs w:val="28"/>
        </w:rPr>
        <w:t>集中交易方式，在达到市场量价相对平衡后，最终形成上海金人民币基准价的</w:t>
      </w:r>
      <w:r>
        <w:rPr>
          <w:rFonts w:ascii="仿宋" w:hAnsi="仿宋" w:eastAsia="仿宋" w:cs="仿宋"/>
          <w:spacing w:val="-4"/>
          <w:sz w:val="28"/>
          <w:szCs w:val="28"/>
        </w:rPr>
        <w:t>交易</w:t>
      </w:r>
      <w:r>
        <w:rPr>
          <w:rFonts w:hint="eastAsia" w:ascii="仿宋" w:hAnsi="仿宋" w:eastAsia="仿宋" w:cs="仿宋"/>
          <w:spacing w:val="-4"/>
          <w:sz w:val="28"/>
          <w:szCs w:val="28"/>
        </w:rPr>
        <w:t>。</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经交易所核准</w:t>
      </w:r>
      <w:r>
        <w:rPr>
          <w:rFonts w:ascii="仿宋" w:hAnsi="仿宋" w:eastAsia="仿宋" w:cs="仿宋"/>
          <w:sz w:val="28"/>
          <w:szCs w:val="28"/>
        </w:rPr>
        <w:t>的</w:t>
      </w:r>
      <w:r>
        <w:rPr>
          <w:rFonts w:hint="eastAsia" w:ascii="仿宋" w:hAnsi="仿宋" w:eastAsia="仿宋" w:cs="仿宋"/>
          <w:sz w:val="28"/>
          <w:szCs w:val="28"/>
        </w:rPr>
        <w:t>会员、客户、指定仓库、指定结算银行及其工作人员在上海金集中定价交易活动中必须遵守本规则。</w:t>
      </w:r>
    </w:p>
    <w:p>
      <w:pPr>
        <w:pBdr>
          <w:top w:val="none" w:color="000000" w:sz="0" w:space="0"/>
          <w:left w:val="none" w:color="000000" w:sz="0" w:space="0"/>
          <w:bottom w:val="none" w:color="000000" w:sz="0" w:space="0"/>
          <w:right w:val="none" w:color="000000" w:sz="0" w:space="0"/>
        </w:pBdr>
        <w:autoSpaceDN w:val="0"/>
        <w:snapToGrid w:val="0"/>
        <w:spacing w:line="360" w:lineRule="auto"/>
        <w:ind w:firstLine="269" w:firstLineChars="96"/>
        <w:jc w:val="center"/>
        <w:rPr>
          <w:rFonts w:ascii="仿宋" w:hAnsi="仿宋" w:eastAsia="仿宋" w:cs="仿宋"/>
          <w:sz w:val="28"/>
          <w:szCs w:val="28"/>
        </w:rPr>
      </w:pPr>
      <w:r>
        <w:rPr>
          <w:rFonts w:hint="eastAsia" w:ascii="仿宋" w:hAnsi="仿宋" w:eastAsia="仿宋" w:cs="仿宋"/>
          <w:sz w:val="28"/>
          <w:szCs w:val="28"/>
        </w:rPr>
        <w:t xml:space="preserve">  </w:t>
      </w:r>
      <w:bookmarkStart w:id="1" w:name="第二章"/>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黑体" w:hAnsi="黑体" w:eastAsia="黑体"/>
          <w:sz w:val="30"/>
          <w:szCs w:val="30"/>
        </w:rPr>
      </w:pPr>
      <w:r>
        <w:rPr>
          <w:rFonts w:hint="eastAsia" w:ascii="黑体" w:hAnsi="黑体" w:eastAsia="黑体"/>
          <w:sz w:val="30"/>
          <w:szCs w:val="30"/>
        </w:rPr>
        <w:t>第二章　参与主体</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398" w:firstLineChars="142"/>
        <w:rPr>
          <w:rFonts w:ascii="仿宋" w:hAnsi="仿宋" w:eastAsia="仿宋" w:cs="仿宋"/>
          <w:sz w:val="28"/>
          <w:szCs w:val="28"/>
        </w:rPr>
      </w:pPr>
      <w:r>
        <w:rPr>
          <w:rFonts w:hint="eastAsia" w:ascii="仿宋" w:hAnsi="仿宋" w:eastAsia="仿宋" w:cs="仿宋"/>
          <w:sz w:val="28"/>
          <w:szCs w:val="28"/>
        </w:rPr>
        <w:t>经交易所批准同意的会员、客户均可参与上海金集中定价交易业务。会员和客户参与上海金集中定价交易，需向交易所提出申请，填写申请表（见附表１），客户申请由会员代理。</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398"/>
        <w:rPr>
          <w:rFonts w:ascii="仿宋" w:hAnsi="仿宋" w:eastAsia="仿宋" w:cs="仿宋"/>
          <w:sz w:val="28"/>
          <w:szCs w:val="28"/>
        </w:rPr>
      </w:pPr>
      <w:r>
        <w:rPr>
          <w:rFonts w:hint="eastAsia" w:ascii="仿宋" w:hAnsi="仿宋" w:eastAsia="仿宋" w:cs="仿宋"/>
          <w:sz w:val="28"/>
          <w:szCs w:val="28"/>
        </w:rPr>
        <w:t>上海金集中定价交易实行定价成员和提供参考价成员机制。定价成员是指在集中定价交易开始前规定时间段内提供参考价报价，承担为集中定价交易提供平衡供求职责的机构。提供参考价成员是指在集中定价交易开始前规定时间段内提供首轮集中定价参考价报</w:t>
      </w:r>
      <w:r>
        <w:rPr>
          <w:rFonts w:ascii="仿宋" w:hAnsi="仿宋" w:eastAsia="仿宋" w:cs="仿宋"/>
          <w:sz w:val="28"/>
          <w:szCs w:val="28"/>
        </w:rPr>
        <w:t>价</w:t>
      </w:r>
      <w:r>
        <w:rPr>
          <w:rFonts w:hint="eastAsia" w:ascii="仿宋" w:hAnsi="仿宋" w:eastAsia="仿宋" w:cs="仿宋"/>
          <w:sz w:val="28"/>
          <w:szCs w:val="28"/>
        </w:rPr>
        <w:t>的机构。</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398" w:firstLineChars="142"/>
        <w:rPr>
          <w:rFonts w:ascii="仿宋" w:hAnsi="仿宋" w:eastAsia="仿宋" w:cs="仿宋"/>
          <w:sz w:val="28"/>
          <w:szCs w:val="28"/>
        </w:rPr>
      </w:pPr>
      <w:r>
        <w:rPr>
          <w:rFonts w:hint="eastAsia" w:ascii="仿宋" w:hAnsi="仿宋" w:eastAsia="仿宋" w:cs="仿宋"/>
          <w:sz w:val="28"/>
          <w:szCs w:val="28"/>
        </w:rPr>
        <w:t>交易所对定价成员和提供参考价成员资质实行审批制。</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398" w:firstLineChars="142"/>
        <w:rPr>
          <w:rFonts w:ascii="仿宋" w:hAnsi="仿宋" w:eastAsia="仿宋" w:cs="仿宋"/>
          <w:sz w:val="28"/>
          <w:szCs w:val="28"/>
        </w:rPr>
      </w:pPr>
      <w:r>
        <w:rPr>
          <w:rFonts w:hint="eastAsia" w:ascii="仿宋" w:hAnsi="仿宋" w:eastAsia="仿宋" w:cs="仿宋"/>
          <w:sz w:val="28"/>
          <w:szCs w:val="28"/>
        </w:rPr>
        <w:t>申请成为定价成员需要满足以下条件：</w:t>
      </w:r>
    </w:p>
    <w:p>
      <w:pPr>
        <w:pBdr>
          <w:top w:val="none" w:color="000000" w:sz="0" w:space="0"/>
          <w:left w:val="none" w:color="000000" w:sz="0" w:space="0"/>
          <w:bottom w:val="none" w:color="000000" w:sz="0" w:space="0"/>
          <w:right w:val="none" w:color="000000" w:sz="0" w:space="0"/>
        </w:pBdr>
        <w:autoSpaceDN w:val="0"/>
        <w:snapToGrid w:val="0"/>
        <w:spacing w:line="360" w:lineRule="auto"/>
        <w:ind w:firstLine="398" w:firstLineChars="142"/>
        <w:rPr>
          <w:rFonts w:ascii="仿宋" w:hAnsi="仿宋" w:eastAsia="仿宋" w:cs="仿宋"/>
          <w:sz w:val="28"/>
          <w:szCs w:val="28"/>
        </w:rPr>
      </w:pPr>
      <w:r>
        <w:rPr>
          <w:rFonts w:hint="eastAsia" w:ascii="仿宋" w:hAnsi="仿宋" w:eastAsia="仿宋" w:cs="仿宋"/>
          <w:sz w:val="28"/>
          <w:szCs w:val="28"/>
        </w:rPr>
        <w:t>（一）须为金融机构；</w:t>
      </w:r>
    </w:p>
    <w:p>
      <w:pPr>
        <w:pBdr>
          <w:top w:val="none" w:color="000000" w:sz="0" w:space="0"/>
          <w:left w:val="none" w:color="000000" w:sz="0" w:space="0"/>
          <w:bottom w:val="none" w:color="000000" w:sz="0" w:space="0"/>
          <w:right w:val="none" w:color="000000" w:sz="0" w:space="0"/>
        </w:pBdr>
        <w:autoSpaceDN w:val="0"/>
        <w:snapToGrid w:val="0"/>
        <w:spacing w:line="360" w:lineRule="auto"/>
        <w:ind w:firstLine="398" w:firstLineChars="142"/>
        <w:rPr>
          <w:rFonts w:ascii="仿宋" w:hAnsi="仿宋" w:eastAsia="仿宋" w:cs="仿宋"/>
          <w:sz w:val="28"/>
          <w:szCs w:val="28"/>
        </w:rPr>
      </w:pPr>
      <w:r>
        <w:rPr>
          <w:rFonts w:hint="eastAsia" w:ascii="仿宋" w:hAnsi="仿宋" w:eastAsia="仿宋" w:cs="仿宋"/>
          <w:sz w:val="28"/>
          <w:szCs w:val="28"/>
        </w:rPr>
        <w:t>（二）具有</w:t>
      </w:r>
      <w:r>
        <w:rPr>
          <w:rFonts w:ascii="仿宋" w:hAnsi="仿宋" w:eastAsia="仿宋" w:cs="仿宋"/>
          <w:sz w:val="28"/>
          <w:szCs w:val="28"/>
        </w:rPr>
        <w:t>1</w:t>
      </w:r>
      <w:r>
        <w:rPr>
          <w:rFonts w:hint="eastAsia" w:ascii="仿宋" w:hAnsi="仿宋" w:eastAsia="仿宋" w:cs="仿宋"/>
          <w:sz w:val="28"/>
          <w:szCs w:val="28"/>
        </w:rPr>
        <w:t>亿元人民币或等值的注册资本和净资产；</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（三）具有良好的信誉和经营历史，近两年内无违法行为记录；</w:t>
      </w:r>
      <w:r>
        <w:rPr>
          <w:rFonts w:ascii="仿宋" w:hAnsi="仿宋" w:eastAsia="仿宋" w:cs="仿宋"/>
          <w:sz w:val="28"/>
          <w:szCs w:val="28"/>
        </w:rPr>
        <w:t xml:space="preserve"> </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（四）有健全的组织机构和账务管理制度及完善的内部控制和风险管理制度；</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（五）在交易所现货市场或国际黄金市场交易活跃、年交易量位居前列；</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（六）遵守执行</w:t>
      </w:r>
      <w:r>
        <w:rPr>
          <w:rFonts w:ascii="仿宋" w:hAnsi="仿宋" w:eastAsia="仿宋" w:cs="仿宋"/>
          <w:sz w:val="28"/>
          <w:szCs w:val="28"/>
        </w:rPr>
        <w:t>交易所的</w:t>
      </w:r>
      <w:r>
        <w:rPr>
          <w:rFonts w:hint="eastAsia" w:ascii="仿宋" w:hAnsi="仿宋" w:eastAsia="仿宋" w:cs="仿宋"/>
          <w:sz w:val="28"/>
          <w:szCs w:val="28"/>
        </w:rPr>
        <w:t>规章</w:t>
      </w:r>
      <w:r>
        <w:rPr>
          <w:rFonts w:ascii="仿宋" w:hAnsi="仿宋" w:eastAsia="仿宋" w:cs="仿宋"/>
          <w:sz w:val="28"/>
          <w:szCs w:val="28"/>
        </w:rPr>
        <w:t>制度</w:t>
      </w:r>
      <w:r>
        <w:rPr>
          <w:rFonts w:hint="eastAsia" w:ascii="仿宋" w:hAnsi="仿宋" w:eastAsia="仿宋" w:cs="仿宋"/>
          <w:sz w:val="28"/>
          <w:szCs w:val="28"/>
        </w:rPr>
        <w:t>；</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（七）交易所规定的其它条件。</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符合上述条件、并愿意成为集中定价业务定价成员的金融机构，应向交易所提交以下资格申请材料：</w:t>
      </w:r>
    </w:p>
    <w:p>
      <w:pPr>
        <w:pBdr>
          <w:top w:val="none" w:color="000000" w:sz="0" w:space="0"/>
          <w:left w:val="none" w:color="000000" w:sz="0" w:space="0"/>
          <w:bottom w:val="none" w:color="000000" w:sz="0" w:space="0"/>
          <w:right w:val="none" w:color="000000" w:sz="0" w:space="0"/>
        </w:pBdr>
        <w:autoSpaceDN w:val="0"/>
        <w:snapToGrid w:val="0"/>
        <w:spacing w:line="360" w:lineRule="auto"/>
        <w:ind w:left="420"/>
        <w:rPr>
          <w:rFonts w:ascii="仿宋" w:hAnsi="仿宋" w:eastAsia="仿宋" w:cs="仿宋"/>
          <w:sz w:val="28"/>
          <w:szCs w:val="28"/>
        </w:rPr>
      </w:pPr>
      <w:r>
        <w:rPr>
          <w:rFonts w:hint="eastAsia" w:ascii="仿宋" w:hAnsi="仿宋" w:eastAsia="仿宋" w:cs="仿宋"/>
          <w:sz w:val="28"/>
          <w:szCs w:val="28"/>
        </w:rPr>
        <w:t>（一）申请成为集中定价成员的书面申请书；</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（二）经会计师事务所或审计师事务所审计的最近一年的年度会计报告；</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（三）申请机构关于上海金集中定价业务风险控制的相关说明材料；</w:t>
      </w:r>
    </w:p>
    <w:p>
      <w:pPr>
        <w:pBdr>
          <w:top w:val="none" w:color="000000" w:sz="0" w:space="0"/>
          <w:left w:val="none" w:color="000000" w:sz="0" w:space="0"/>
          <w:bottom w:val="none" w:color="000000" w:sz="0" w:space="0"/>
          <w:right w:val="none" w:color="000000" w:sz="0" w:space="0"/>
        </w:pBdr>
        <w:autoSpaceDN w:val="0"/>
        <w:snapToGrid w:val="0"/>
        <w:spacing w:line="360" w:lineRule="auto"/>
        <w:ind w:left="420"/>
        <w:rPr>
          <w:rFonts w:ascii="仿宋" w:hAnsi="仿宋" w:eastAsia="仿宋" w:cs="仿宋"/>
          <w:sz w:val="28"/>
          <w:szCs w:val="28"/>
        </w:rPr>
      </w:pPr>
      <w:r>
        <w:rPr>
          <w:rFonts w:hint="eastAsia" w:ascii="仿宋" w:hAnsi="仿宋" w:eastAsia="仿宋" w:cs="仿宋"/>
          <w:sz w:val="28"/>
          <w:szCs w:val="28"/>
        </w:rPr>
        <w:t>（四）申请机构近两年无违法行为的说明材料；</w:t>
      </w:r>
    </w:p>
    <w:p>
      <w:pPr>
        <w:pBdr>
          <w:top w:val="none" w:color="000000" w:sz="0" w:space="0"/>
          <w:left w:val="none" w:color="000000" w:sz="0" w:space="0"/>
          <w:bottom w:val="none" w:color="000000" w:sz="0" w:space="0"/>
          <w:right w:val="none" w:color="000000" w:sz="0" w:space="0"/>
        </w:pBdr>
        <w:autoSpaceDN w:val="0"/>
        <w:snapToGrid w:val="0"/>
        <w:spacing w:line="360" w:lineRule="auto"/>
        <w:ind w:left="420"/>
        <w:rPr>
          <w:rFonts w:ascii="仿宋" w:hAnsi="仿宋" w:eastAsia="仿宋" w:cs="仿宋"/>
          <w:sz w:val="28"/>
          <w:szCs w:val="28"/>
        </w:rPr>
      </w:pPr>
      <w:r>
        <w:rPr>
          <w:rFonts w:hint="eastAsia" w:ascii="仿宋" w:hAnsi="仿宋" w:eastAsia="仿宋" w:cs="仿宋"/>
          <w:sz w:val="28"/>
          <w:szCs w:val="28"/>
        </w:rPr>
        <w:t>（五）交易所要求提供的其他材料。</w:t>
      </w:r>
    </w:p>
    <w:p>
      <w:pPr>
        <w:pStyle w:val="12"/>
        <w:numPr>
          <w:ilvl w:val="0"/>
          <w:numId w:val="1"/>
        </w:numPr>
        <w:pBdr>
          <w:top w:val="none" w:color="000000" w:sz="0" w:space="0"/>
          <w:left w:val="none" w:color="000000" w:sz="0" w:space="0"/>
          <w:bottom w:val="none" w:color="000000" w:sz="0" w:space="1"/>
          <w:right w:val="none" w:color="000000" w:sz="0" w:space="0"/>
        </w:pBdr>
        <w:autoSpaceDN w:val="0"/>
        <w:snapToGrid w:val="0"/>
        <w:spacing w:line="360" w:lineRule="auto"/>
        <w:ind w:firstLineChars="0"/>
        <w:rPr>
          <w:rFonts w:ascii="仿宋" w:hAnsi="仿宋" w:eastAsia="仿宋" w:cs="仿宋"/>
          <w:sz w:val="28"/>
          <w:szCs w:val="28"/>
        </w:rPr>
      </w:pPr>
      <w:r>
        <w:rPr>
          <w:rFonts w:hint="eastAsia" w:ascii="仿宋" w:hAnsi="仿宋" w:eastAsia="仿宋" w:cs="仿宋"/>
          <w:sz w:val="28"/>
          <w:szCs w:val="28"/>
        </w:rPr>
        <w:t>提供参考价成员需要满足以下条件：</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（一）在行业中处于龙头地位的产、用金企业；</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（二）具有</w:t>
      </w:r>
      <w:r>
        <w:rPr>
          <w:rFonts w:ascii="仿宋" w:hAnsi="仿宋" w:eastAsia="仿宋" w:cs="仿宋"/>
          <w:sz w:val="28"/>
          <w:szCs w:val="28"/>
        </w:rPr>
        <w:t>5,000</w:t>
      </w:r>
      <w:r>
        <w:rPr>
          <w:rFonts w:hint="eastAsia" w:ascii="仿宋" w:hAnsi="仿宋" w:eastAsia="仿宋" w:cs="仿宋"/>
          <w:sz w:val="28"/>
          <w:szCs w:val="28"/>
        </w:rPr>
        <w:t>万元人民币或等值的注册资本和净资产；</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（三）具有良好的信誉和经营历史，近两年内无违法行为记录；</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（四）在交易所现货市场或国际市场交易活跃、年交易量位居前列；</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（五）参加黄金实物的生产、加工、贸易和投资等；</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（六）遵守</w:t>
      </w:r>
      <w:r>
        <w:rPr>
          <w:rFonts w:ascii="仿宋" w:hAnsi="仿宋" w:eastAsia="仿宋" w:cs="仿宋"/>
          <w:sz w:val="28"/>
          <w:szCs w:val="28"/>
        </w:rPr>
        <w:t>执行交易所的规章制度；</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（七）交易所规定的其它条件。</w:t>
      </w:r>
    </w:p>
    <w:p>
      <w:pPr>
        <w:numPr>
          <w:ilvl w:val="0"/>
          <w:numId w:val="1"/>
        </w:numPr>
        <w:pBdr>
          <w:top w:val="none" w:color="000000" w:sz="0" w:space="0"/>
          <w:left w:val="none" w:color="000000" w:sz="0" w:space="0"/>
          <w:bottom w:val="none" w:color="000000" w:sz="0" w:space="1"/>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符合上述条件并愿意成为提供参考价成员的机构，应向交易所提交以下资格申请材料：</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（一）申请成为参考价成员的书面申请书；</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（二）经会计师事务所或审计师事务所审计的最近一年的年度会计报告；</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（三）申请机构近两年有、无违法行为的说明材料；</w:t>
      </w:r>
    </w:p>
    <w:p>
      <w:pPr>
        <w:pBdr>
          <w:top w:val="none" w:color="000000" w:sz="0" w:space="0"/>
          <w:left w:val="none" w:color="000000" w:sz="0" w:space="0"/>
          <w:bottom w:val="none" w:color="000000" w:sz="0" w:space="1"/>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（四）交易所要求提供的其他材料。</w:t>
      </w:r>
    </w:p>
    <w:p>
      <w:pPr>
        <w:numPr>
          <w:ilvl w:val="0"/>
          <w:numId w:val="1"/>
        </w:numPr>
        <w:pBdr>
          <w:top w:val="none" w:color="000000" w:sz="0" w:space="0"/>
          <w:left w:val="none" w:color="000000" w:sz="0" w:space="0"/>
          <w:bottom w:val="none" w:color="000000" w:sz="0" w:space="1"/>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经交易所审批同意后，定价成员或提供参考价成员有以下义务和权利：</w:t>
      </w:r>
    </w:p>
    <w:p>
      <w:pPr>
        <w:pBdr>
          <w:top w:val="none" w:color="000000" w:sz="0" w:space="0"/>
          <w:left w:val="none" w:color="000000" w:sz="0" w:space="0"/>
          <w:bottom w:val="none" w:color="000000" w:sz="0" w:space="1"/>
          <w:right w:val="none" w:color="000000" w:sz="0" w:space="0"/>
        </w:pBdr>
        <w:tabs>
          <w:tab w:val="left" w:pos="426"/>
        </w:tabs>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（一）遵守</w:t>
      </w:r>
      <w:r>
        <w:rPr>
          <w:rFonts w:ascii="仿宋" w:hAnsi="仿宋" w:eastAsia="仿宋" w:cs="仿宋"/>
          <w:sz w:val="28"/>
          <w:szCs w:val="28"/>
        </w:rPr>
        <w:t>交易所的规</w:t>
      </w:r>
      <w:r>
        <w:rPr>
          <w:rFonts w:hint="eastAsia" w:ascii="仿宋" w:hAnsi="仿宋" w:eastAsia="仿宋" w:cs="仿宋"/>
          <w:sz w:val="28"/>
          <w:szCs w:val="28"/>
        </w:rPr>
        <w:t>章</w:t>
      </w:r>
      <w:r>
        <w:rPr>
          <w:rFonts w:ascii="仿宋" w:hAnsi="仿宋" w:eastAsia="仿宋" w:cs="仿宋"/>
          <w:sz w:val="28"/>
          <w:szCs w:val="28"/>
        </w:rPr>
        <w:t>制度</w:t>
      </w:r>
      <w:r>
        <w:rPr>
          <w:rFonts w:hint="eastAsia" w:ascii="仿宋" w:hAnsi="仿宋" w:eastAsia="仿宋" w:cs="仿宋"/>
          <w:sz w:val="28"/>
          <w:szCs w:val="28"/>
        </w:rPr>
        <w:t>。</w:t>
      </w:r>
    </w:p>
    <w:p>
      <w:pPr>
        <w:pBdr>
          <w:top w:val="none" w:color="000000" w:sz="0" w:space="0"/>
          <w:left w:val="none" w:color="000000" w:sz="0" w:space="0"/>
          <w:bottom w:val="none" w:color="000000" w:sz="0" w:space="1"/>
          <w:right w:val="none" w:color="000000" w:sz="0" w:space="0"/>
        </w:pBdr>
        <w:autoSpaceDN w:val="0"/>
        <w:snapToGrid w:val="0"/>
        <w:spacing w:line="360" w:lineRule="auto"/>
        <w:ind w:firstLine="708" w:firstLineChars="253"/>
        <w:rPr>
          <w:rFonts w:ascii="仿宋" w:hAnsi="仿宋" w:eastAsia="仿宋" w:cs="仿宋"/>
          <w:sz w:val="28"/>
          <w:szCs w:val="28"/>
        </w:rPr>
      </w:pPr>
      <w:r>
        <w:rPr>
          <w:rFonts w:hint="eastAsia" w:ascii="仿宋" w:hAnsi="仿宋" w:eastAsia="仿宋" w:cs="仿宋"/>
          <w:sz w:val="28"/>
          <w:szCs w:val="28"/>
        </w:rPr>
        <w:t>(二）定价成员须承担在集中定价交易开始前规定时间段内提供符合</w:t>
      </w:r>
      <w:r>
        <w:rPr>
          <w:rFonts w:ascii="仿宋" w:hAnsi="仿宋" w:eastAsia="仿宋" w:cs="仿宋"/>
          <w:sz w:val="28"/>
          <w:szCs w:val="28"/>
        </w:rPr>
        <w:t>当时</w:t>
      </w:r>
      <w:r>
        <w:rPr>
          <w:rFonts w:hint="eastAsia" w:ascii="仿宋" w:hAnsi="仿宋" w:eastAsia="仿宋" w:cs="仿宋"/>
          <w:sz w:val="28"/>
          <w:szCs w:val="28"/>
        </w:rPr>
        <w:t>市</w:t>
      </w:r>
      <w:r>
        <w:rPr>
          <w:rFonts w:ascii="仿宋" w:hAnsi="仿宋" w:eastAsia="仿宋" w:cs="仿宋"/>
          <w:sz w:val="28"/>
          <w:szCs w:val="28"/>
        </w:rPr>
        <w:t>况</w:t>
      </w:r>
      <w:r>
        <w:rPr>
          <w:rFonts w:hint="eastAsia" w:ascii="仿宋" w:hAnsi="仿宋" w:eastAsia="仿宋" w:cs="仿宋"/>
          <w:sz w:val="28"/>
          <w:szCs w:val="28"/>
        </w:rPr>
        <w:t>的参考价</w:t>
      </w:r>
      <w:r>
        <w:rPr>
          <w:rFonts w:ascii="仿宋" w:hAnsi="仿宋" w:eastAsia="仿宋" w:cs="仿宋"/>
          <w:sz w:val="28"/>
          <w:szCs w:val="28"/>
        </w:rPr>
        <w:t>报价</w:t>
      </w:r>
      <w:r>
        <w:rPr>
          <w:rFonts w:hint="eastAsia" w:ascii="仿宋" w:hAnsi="仿宋" w:eastAsia="仿宋" w:cs="仿宋"/>
          <w:sz w:val="28"/>
          <w:szCs w:val="28"/>
        </w:rPr>
        <w:t>和接</w:t>
      </w:r>
      <w:r>
        <w:rPr>
          <w:rFonts w:ascii="仿宋" w:hAnsi="仿宋" w:eastAsia="仿宋" w:cs="仿宋"/>
          <w:sz w:val="28"/>
          <w:szCs w:val="28"/>
        </w:rPr>
        <w:t>受</w:t>
      </w:r>
      <w:r>
        <w:rPr>
          <w:rFonts w:hint="eastAsia" w:ascii="仿宋" w:hAnsi="仿宋" w:eastAsia="仿宋" w:cs="仿宋"/>
          <w:sz w:val="28"/>
          <w:szCs w:val="28"/>
        </w:rPr>
        <w:t>分配规定数量量差的义务，并享有在补充申报时段报量的权利。</w:t>
      </w:r>
    </w:p>
    <w:p>
      <w:pPr>
        <w:pBdr>
          <w:top w:val="none" w:color="000000" w:sz="0" w:space="0"/>
          <w:left w:val="none" w:color="000000" w:sz="0" w:space="0"/>
          <w:bottom w:val="none" w:color="000000" w:sz="0" w:space="1"/>
          <w:right w:val="none" w:color="000000" w:sz="0" w:space="0"/>
        </w:pBdr>
        <w:autoSpaceDN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（三）提供参考价成员须承担在集中定价交易开始前规定时间段内提供符合</w:t>
      </w:r>
      <w:r>
        <w:rPr>
          <w:rFonts w:ascii="仿宋" w:hAnsi="仿宋" w:eastAsia="仿宋" w:cs="仿宋"/>
          <w:sz w:val="28"/>
          <w:szCs w:val="28"/>
        </w:rPr>
        <w:t>当时</w:t>
      </w:r>
      <w:r>
        <w:rPr>
          <w:rFonts w:hint="eastAsia" w:ascii="仿宋" w:hAnsi="仿宋" w:eastAsia="仿宋" w:cs="仿宋"/>
          <w:sz w:val="28"/>
          <w:szCs w:val="28"/>
        </w:rPr>
        <w:t>市</w:t>
      </w:r>
      <w:r>
        <w:rPr>
          <w:rFonts w:ascii="仿宋" w:hAnsi="仿宋" w:eastAsia="仿宋" w:cs="仿宋"/>
          <w:sz w:val="28"/>
          <w:szCs w:val="28"/>
        </w:rPr>
        <w:t>况</w:t>
      </w:r>
      <w:r>
        <w:rPr>
          <w:rFonts w:hint="eastAsia" w:ascii="仿宋" w:hAnsi="仿宋" w:eastAsia="仿宋" w:cs="仿宋"/>
          <w:sz w:val="28"/>
          <w:szCs w:val="28"/>
        </w:rPr>
        <w:t>的参考价</w:t>
      </w:r>
      <w:r>
        <w:rPr>
          <w:rFonts w:ascii="仿宋" w:hAnsi="仿宋" w:eastAsia="仿宋" w:cs="仿宋"/>
          <w:sz w:val="28"/>
          <w:szCs w:val="28"/>
        </w:rPr>
        <w:t>报价</w:t>
      </w:r>
      <w:r>
        <w:rPr>
          <w:rFonts w:hint="eastAsia" w:ascii="仿宋" w:hAnsi="仿宋" w:eastAsia="仿宋" w:cs="仿宋"/>
          <w:sz w:val="28"/>
          <w:szCs w:val="28"/>
        </w:rPr>
        <w:t>的义务。</w:t>
      </w:r>
    </w:p>
    <w:p>
      <w:pPr>
        <w:pBdr>
          <w:top w:val="none" w:color="000000" w:sz="0" w:space="0"/>
          <w:left w:val="none" w:color="000000" w:sz="0" w:space="0"/>
          <w:bottom w:val="none" w:color="000000" w:sz="0" w:space="0"/>
          <w:right w:val="none" w:color="000000" w:sz="0" w:space="0"/>
        </w:pBdr>
        <w:autoSpaceDN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（四）交易所规定的其他义务和权利。</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交易所收到符合要求的申请材料后，应于20个工作日内提出是否同意的办理意见。</w:t>
      </w:r>
    </w:p>
    <w:p>
      <w:pPr>
        <w:pStyle w:val="11"/>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jc w:val="left"/>
        <w:rPr>
          <w:rFonts w:ascii="黑体" w:hAnsi="黑体" w:eastAsia="黑体"/>
          <w:sz w:val="30"/>
          <w:szCs w:val="30"/>
        </w:rPr>
      </w:pPr>
      <w:r>
        <w:rPr>
          <w:rFonts w:hint="eastAsia" w:ascii="仿宋" w:hAnsi="仿宋" w:eastAsia="仿宋" w:cs="仿宋"/>
          <w:sz w:val="28"/>
          <w:szCs w:val="28"/>
        </w:rPr>
        <w:t>交易所将对定价成员和提供参考价成员每年进行适当性审查，可以对成员资格进行相应调整。</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定价成员或提供参考价成员要求终止资格的，须提前三个月向交易所提出书面申请。</w:t>
      </w:r>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仿宋" w:hAnsi="仿宋" w:eastAsia="仿宋" w:cs="仿宋"/>
          <w:sz w:val="28"/>
          <w:szCs w:val="28"/>
        </w:rPr>
      </w:pPr>
      <w:r>
        <w:rPr>
          <w:rFonts w:hint="eastAsia" w:ascii="黑体" w:hAnsi="黑体" w:eastAsia="黑体"/>
          <w:sz w:val="30"/>
          <w:szCs w:val="30"/>
        </w:rPr>
        <w:t>第三章　</w:t>
      </w:r>
      <w:bookmarkEnd w:id="1"/>
      <w:r>
        <w:rPr>
          <w:rFonts w:hint="eastAsia" w:ascii="黑体" w:hAnsi="黑体" w:eastAsia="黑体"/>
          <w:sz w:val="30"/>
          <w:szCs w:val="30"/>
        </w:rPr>
        <w:t>交　易</w:t>
      </w:r>
      <w:r>
        <w:rPr>
          <w:rFonts w:hint="eastAsia" w:ascii="仿宋" w:hAnsi="仿宋" w:eastAsia="仿宋" w:cs="仿宋"/>
          <w:sz w:val="28"/>
          <w:szCs w:val="28"/>
        </w:rPr>
        <w:t xml:space="preserve"> </w:t>
      </w:r>
    </w:p>
    <w:p>
      <w:pPr>
        <w:pStyle w:val="11"/>
        <w:numPr>
          <w:ilvl w:val="0"/>
          <w:numId w:val="1"/>
        </w:numPr>
        <w:ind w:firstLine="566" w:firstLineChars="202"/>
      </w:pPr>
      <w:r>
        <w:rPr>
          <w:rFonts w:hint="eastAsia" w:ascii="仿宋" w:hAnsi="仿宋" w:eastAsia="仿宋" w:cs="仿宋"/>
          <w:sz w:val="28"/>
          <w:szCs w:val="28"/>
        </w:rPr>
        <w:t>上海</w:t>
      </w:r>
      <w:r>
        <w:rPr>
          <w:rFonts w:ascii="仿宋" w:hAnsi="仿宋" w:eastAsia="仿宋" w:cs="仿宋"/>
          <w:sz w:val="28"/>
          <w:szCs w:val="28"/>
        </w:rPr>
        <w:t>金</w:t>
      </w:r>
      <w:r>
        <w:rPr>
          <w:rFonts w:hint="eastAsia" w:ascii="仿宋" w:hAnsi="仿宋" w:eastAsia="仿宋" w:cs="仿宋"/>
          <w:sz w:val="28"/>
          <w:szCs w:val="28"/>
        </w:rPr>
        <w:t>集中定价合约交易标的为经交易所认可的标准重量1千克、成色不低于99.99％的金锭。</w:t>
      </w:r>
    </w:p>
    <w:p>
      <w:pPr>
        <w:pStyle w:val="11"/>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上海金集中定价合约的交易代码为SHAU，报价单位为人民币元/克，最小变动价位为0.01元。合约交易单位为“手”，每手为１千克。合约最小申报量为1手，单一客户每场单边最大申报量为30,000手。交割时间为T+2日。</w:t>
      </w:r>
    </w:p>
    <w:p>
      <w:pPr>
        <w:pStyle w:val="11"/>
        <w:pBdr>
          <w:top w:val="none" w:color="000000" w:sz="0" w:space="0"/>
          <w:left w:val="none" w:color="000000" w:sz="0" w:space="0"/>
          <w:bottom w:val="none" w:color="000000" w:sz="0" w:space="0"/>
          <w:right w:val="none" w:color="000000" w:sz="0" w:space="0"/>
        </w:pBdr>
        <w:autoSpaceDN w:val="0"/>
        <w:snapToGrid w:val="0"/>
        <w:spacing w:line="360" w:lineRule="auto"/>
        <w:ind w:firstLine="560"/>
        <w:rPr>
          <w:rFonts w:ascii="仿宋" w:hAnsi="仿宋" w:eastAsia="仿宋" w:cs="仿宋"/>
          <w:sz w:val="28"/>
          <w:szCs w:val="28"/>
        </w:rPr>
      </w:pPr>
      <w:r>
        <w:rPr>
          <w:rFonts w:hint="eastAsia" w:ascii="仿宋" w:hAnsi="仿宋" w:eastAsia="仿宋" w:cs="仿宋"/>
          <w:sz w:val="28"/>
          <w:szCs w:val="28"/>
        </w:rPr>
        <w:t>具体合约参数参见《上海黄金交易所上海金集中定价合约参数表》（附表２）。</w:t>
      </w:r>
    </w:p>
    <w:p>
      <w:pPr>
        <w:pStyle w:val="11"/>
        <w:pBdr>
          <w:top w:val="none" w:color="000000" w:sz="0" w:space="0"/>
          <w:left w:val="none" w:color="000000" w:sz="0" w:space="0"/>
          <w:bottom w:val="none" w:color="000000" w:sz="0" w:space="0"/>
          <w:right w:val="none" w:color="000000" w:sz="0" w:space="0"/>
        </w:pBdr>
        <w:autoSpaceDN w:val="0"/>
        <w:snapToGrid w:val="0"/>
        <w:spacing w:line="360" w:lineRule="auto"/>
        <w:ind w:left="566" w:firstLine="0" w:firstLineChars="0"/>
        <w:rPr>
          <w:rFonts w:ascii="仿宋" w:hAnsi="仿宋" w:eastAsia="仿宋" w:cs="仿宋"/>
          <w:sz w:val="28"/>
          <w:szCs w:val="28"/>
        </w:rPr>
      </w:pPr>
      <w:r>
        <w:rPr>
          <w:rFonts w:hint="eastAsia" w:ascii="仿宋" w:hAnsi="仿宋" w:eastAsia="仿宋" w:cs="仿宋"/>
          <w:sz w:val="28"/>
          <w:szCs w:val="28"/>
        </w:rPr>
        <w:t>调整合约参数按交易所公告执行。</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上海金集中定价交易分为早盘定价交易和午盘定价交易两场，早盘定价交易开始时间为10:15，午盘定价交易开始时间为14:15。在市场量价相对平衡，形成上海金人民币基准价后对外发布。</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会员和客户参与上海金集中定价交易的申报，只在该场定价过程中有效。</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上海金集中定价交易不设价格涨跌停板。</w:t>
      </w:r>
    </w:p>
    <w:p>
      <w:pPr>
        <w:pStyle w:val="11"/>
        <w:numPr>
          <w:ilvl w:val="0"/>
          <w:numId w:val="1"/>
        </w:numPr>
        <w:ind w:firstLine="567" w:firstLineChars="0"/>
        <w:rPr>
          <w:rFonts w:ascii="仿宋" w:hAnsi="仿宋" w:eastAsia="仿宋" w:cs="仿宋"/>
          <w:sz w:val="28"/>
          <w:szCs w:val="28"/>
        </w:rPr>
      </w:pPr>
      <w:r>
        <w:rPr>
          <w:rFonts w:hint="eastAsia" w:ascii="仿宋" w:hAnsi="仿宋" w:eastAsia="仿宋" w:cs="仿宋"/>
          <w:sz w:val="28"/>
          <w:szCs w:val="28"/>
        </w:rPr>
        <w:t>上海金集中定价交易实行保证金交易制度。交易所对申报成功的买卖单即时冻结保证金，最低交易保证金比例根据交易所的公告执行。</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每一场上海金集中定价过程由三个环节组成：1.上海金集中定价交易系统根据定价成员和提供参考价成员报出的参考价进行计算，形成初始价并公布（以下简称“初始价”）；2.会员和客户针对初始价或可能调整的价格申报买卖意向和数量（以下简称“报量”）；3.形成上海金集中</w:t>
      </w:r>
      <w:r>
        <w:rPr>
          <w:rFonts w:ascii="仿宋" w:hAnsi="仿宋" w:eastAsia="仿宋" w:cs="仿宋"/>
          <w:sz w:val="28"/>
          <w:szCs w:val="28"/>
        </w:rPr>
        <w:t>定价</w:t>
      </w:r>
      <w:r>
        <w:rPr>
          <w:rFonts w:hint="eastAsia" w:ascii="仿宋" w:hAnsi="仿宋" w:eastAsia="仿宋" w:cs="仿宋"/>
          <w:sz w:val="28"/>
          <w:szCs w:val="28"/>
        </w:rPr>
        <w:t>基准价格，在该基准价格上的</w:t>
      </w:r>
      <w:r>
        <w:rPr>
          <w:rFonts w:ascii="仿宋" w:hAnsi="仿宋" w:eastAsia="仿宋" w:cs="仿宋"/>
          <w:sz w:val="28"/>
          <w:szCs w:val="28"/>
        </w:rPr>
        <w:t>所有</w:t>
      </w:r>
      <w:r>
        <w:rPr>
          <w:rFonts w:hint="eastAsia" w:ascii="仿宋" w:hAnsi="仿宋" w:eastAsia="仿宋" w:cs="仿宋"/>
          <w:sz w:val="28"/>
          <w:szCs w:val="28"/>
        </w:rPr>
        <w:t>有效</w:t>
      </w:r>
      <w:r>
        <w:rPr>
          <w:rFonts w:ascii="仿宋" w:hAnsi="仿宋" w:eastAsia="仿宋" w:cs="仿宋"/>
          <w:sz w:val="28"/>
          <w:szCs w:val="28"/>
        </w:rPr>
        <w:t>申报全部</w:t>
      </w:r>
      <w:r>
        <w:rPr>
          <w:rFonts w:hint="eastAsia" w:ascii="仿宋" w:hAnsi="仿宋" w:eastAsia="仿宋" w:cs="仿宋"/>
          <w:sz w:val="28"/>
          <w:szCs w:val="28"/>
        </w:rPr>
        <w:t>以该基准价格</w:t>
      </w:r>
      <w:r>
        <w:rPr>
          <w:rFonts w:ascii="仿宋" w:hAnsi="仿宋" w:eastAsia="仿宋" w:cs="仿宋"/>
          <w:sz w:val="28"/>
          <w:szCs w:val="28"/>
        </w:rPr>
        <w:t>成交</w:t>
      </w:r>
      <w:r>
        <w:rPr>
          <w:rFonts w:hint="eastAsia" w:ascii="仿宋" w:hAnsi="仿宋" w:eastAsia="仿宋" w:cs="仿宋"/>
          <w:sz w:val="28"/>
          <w:szCs w:val="28"/>
        </w:rPr>
        <w:t>（以</w:t>
      </w:r>
      <w:r>
        <w:rPr>
          <w:rFonts w:ascii="仿宋" w:hAnsi="仿宋" w:eastAsia="仿宋" w:cs="仿宋"/>
          <w:sz w:val="28"/>
          <w:szCs w:val="28"/>
        </w:rPr>
        <w:t>下简称“</w:t>
      </w:r>
      <w:r>
        <w:rPr>
          <w:rFonts w:hint="eastAsia" w:ascii="仿宋" w:hAnsi="仿宋" w:eastAsia="仿宋" w:cs="仿宋"/>
          <w:sz w:val="28"/>
          <w:szCs w:val="28"/>
        </w:rPr>
        <w:t>成</w:t>
      </w:r>
      <w:r>
        <w:rPr>
          <w:rFonts w:ascii="仿宋" w:hAnsi="仿宋" w:eastAsia="仿宋" w:cs="仿宋"/>
          <w:sz w:val="28"/>
          <w:szCs w:val="28"/>
        </w:rPr>
        <w:t>交”</w:t>
      </w:r>
      <w:r>
        <w:rPr>
          <w:rFonts w:hint="eastAsia" w:ascii="仿宋" w:hAnsi="仿宋" w:eastAsia="仿宋" w:cs="仿宋"/>
          <w:sz w:val="28"/>
          <w:szCs w:val="28"/>
        </w:rPr>
        <w:t>）。</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早盘定价和午盘定价开始前规定时间段内，定价成员和提供参考价成员通过交易终端向交易所提交本场集中定价的参考价。</w:t>
      </w:r>
    </w:p>
    <w:p>
      <w:pPr>
        <w:pStyle w:val="12"/>
        <w:numPr>
          <w:ilvl w:val="0"/>
          <w:numId w:val="1"/>
        </w:numPr>
        <w:ind w:firstLine="567" w:firstLineChars="0"/>
        <w:rPr>
          <w:rFonts w:ascii="仿宋" w:hAnsi="仿宋" w:eastAsia="仿宋" w:cs="仿宋"/>
          <w:sz w:val="28"/>
          <w:szCs w:val="28"/>
        </w:rPr>
      </w:pPr>
      <w:r>
        <w:rPr>
          <w:rFonts w:hint="eastAsia" w:ascii="仿宋" w:hAnsi="仿宋" w:eastAsia="仿宋" w:cs="仿宋"/>
          <w:sz w:val="28"/>
          <w:szCs w:val="28"/>
        </w:rPr>
        <w:t>初始价的计算和确定分为以下三个层次：1.定价成员和提供参考价成员在</w:t>
      </w:r>
      <w:r>
        <w:rPr>
          <w:rFonts w:ascii="仿宋" w:hAnsi="仿宋" w:eastAsia="仿宋" w:cs="仿宋"/>
          <w:sz w:val="28"/>
          <w:szCs w:val="28"/>
        </w:rPr>
        <w:t>规定时间</w:t>
      </w:r>
      <w:r>
        <w:rPr>
          <w:rFonts w:hint="eastAsia" w:ascii="仿宋" w:hAnsi="仿宋" w:eastAsia="仿宋" w:cs="仿宋"/>
          <w:sz w:val="28"/>
          <w:szCs w:val="28"/>
        </w:rPr>
        <w:t>段</w:t>
      </w:r>
      <w:r>
        <w:rPr>
          <w:rFonts w:ascii="仿宋" w:hAnsi="仿宋" w:eastAsia="仿宋" w:cs="仿宋"/>
          <w:sz w:val="28"/>
          <w:szCs w:val="28"/>
        </w:rPr>
        <w:t>内</w:t>
      </w:r>
      <w:r>
        <w:rPr>
          <w:rFonts w:hint="eastAsia" w:ascii="仿宋" w:hAnsi="仿宋" w:eastAsia="仿宋" w:cs="仿宋"/>
          <w:sz w:val="28"/>
          <w:szCs w:val="28"/>
        </w:rPr>
        <w:t>提供参考价，若参与报价的成员数大于</w:t>
      </w:r>
      <w:r>
        <w:rPr>
          <w:rFonts w:ascii="仿宋" w:hAnsi="仿宋" w:eastAsia="仿宋" w:cs="仿宋"/>
          <w:sz w:val="28"/>
          <w:szCs w:val="28"/>
        </w:rPr>
        <w:t>等</w:t>
      </w:r>
      <w:r>
        <w:rPr>
          <w:rFonts w:hint="eastAsia" w:ascii="仿宋" w:hAnsi="仿宋" w:eastAsia="仿宋" w:cs="仿宋"/>
          <w:sz w:val="28"/>
          <w:szCs w:val="28"/>
        </w:rPr>
        <w:t>于总数的50%，交易所去除申</w:t>
      </w:r>
      <w:r>
        <w:rPr>
          <w:rFonts w:ascii="仿宋" w:hAnsi="仿宋" w:eastAsia="仿宋" w:cs="仿宋"/>
          <w:sz w:val="28"/>
          <w:szCs w:val="28"/>
        </w:rPr>
        <w:t>报的</w:t>
      </w:r>
      <w:r>
        <w:rPr>
          <w:rFonts w:hint="eastAsia" w:ascii="仿宋" w:hAnsi="仿宋" w:eastAsia="仿宋" w:cs="仿宋"/>
          <w:sz w:val="28"/>
          <w:szCs w:val="28"/>
        </w:rPr>
        <w:t>全部参考价中一个最高价和一个最低价后，以剩余参考价的算术平均价，作为第一轮集中定价的初始价。2.若参与报价的成员数少于总数的50%，则认定该场参考价申</w:t>
      </w:r>
      <w:r>
        <w:rPr>
          <w:rFonts w:ascii="仿宋" w:hAnsi="仿宋" w:eastAsia="仿宋" w:cs="仿宋"/>
          <w:sz w:val="28"/>
          <w:szCs w:val="28"/>
        </w:rPr>
        <w:t>报</w:t>
      </w:r>
      <w:r>
        <w:rPr>
          <w:rFonts w:hint="eastAsia" w:ascii="仿宋" w:hAnsi="仿宋" w:eastAsia="仿宋" w:cs="仿宋"/>
          <w:sz w:val="28"/>
          <w:szCs w:val="28"/>
        </w:rPr>
        <w:t>无效。交易所将以黄</w:t>
      </w:r>
      <w:r>
        <w:rPr>
          <w:rFonts w:ascii="仿宋" w:hAnsi="仿宋" w:eastAsia="仿宋" w:cs="仿宋"/>
          <w:sz w:val="28"/>
          <w:szCs w:val="28"/>
        </w:rPr>
        <w:t>金现货</w:t>
      </w:r>
      <w:r>
        <w:rPr>
          <w:rFonts w:hint="eastAsia" w:ascii="仿宋" w:hAnsi="仿宋" w:eastAsia="仿宋" w:cs="仿宋"/>
          <w:sz w:val="28"/>
          <w:szCs w:val="28"/>
        </w:rPr>
        <w:t>合</w:t>
      </w:r>
      <w:r>
        <w:rPr>
          <w:rFonts w:ascii="仿宋" w:hAnsi="仿宋" w:eastAsia="仿宋" w:cs="仿宋"/>
          <w:sz w:val="28"/>
          <w:szCs w:val="28"/>
        </w:rPr>
        <w:t>约A</w:t>
      </w:r>
      <w:r>
        <w:rPr>
          <w:rFonts w:hint="eastAsia" w:ascii="仿宋" w:hAnsi="仿宋" w:eastAsia="仿宋" w:cs="仿宋"/>
          <w:sz w:val="28"/>
          <w:szCs w:val="28"/>
        </w:rPr>
        <w:t>u9999在提供参考价时间段内的市场成交的</w:t>
      </w:r>
      <w:r>
        <w:rPr>
          <w:rFonts w:ascii="仿宋" w:hAnsi="仿宋" w:eastAsia="仿宋" w:cs="仿宋"/>
          <w:sz w:val="28"/>
          <w:szCs w:val="28"/>
        </w:rPr>
        <w:t>算术平均价作为</w:t>
      </w:r>
      <w:r>
        <w:rPr>
          <w:rFonts w:hint="eastAsia" w:ascii="仿宋" w:hAnsi="仿宋" w:eastAsia="仿宋" w:cs="仿宋"/>
          <w:sz w:val="28"/>
          <w:szCs w:val="28"/>
        </w:rPr>
        <w:t>本</w:t>
      </w:r>
      <w:r>
        <w:rPr>
          <w:rFonts w:ascii="仿宋" w:hAnsi="仿宋" w:eastAsia="仿宋" w:cs="仿宋"/>
          <w:sz w:val="28"/>
          <w:szCs w:val="28"/>
        </w:rPr>
        <w:t>场次的初始价</w:t>
      </w:r>
      <w:r>
        <w:rPr>
          <w:rFonts w:hint="eastAsia" w:ascii="仿宋" w:hAnsi="仿宋" w:eastAsia="仿宋" w:cs="仿宋"/>
          <w:sz w:val="28"/>
          <w:szCs w:val="28"/>
        </w:rPr>
        <w:t>。3.若A</w:t>
      </w:r>
      <w:r>
        <w:rPr>
          <w:rFonts w:ascii="仿宋" w:hAnsi="仿宋" w:eastAsia="仿宋" w:cs="仿宋"/>
          <w:sz w:val="28"/>
          <w:szCs w:val="28"/>
        </w:rPr>
        <w:t>u9999</w:t>
      </w:r>
      <w:r>
        <w:rPr>
          <w:rFonts w:hint="eastAsia" w:ascii="仿宋" w:hAnsi="仿宋" w:eastAsia="仿宋" w:cs="仿宋"/>
          <w:sz w:val="28"/>
          <w:szCs w:val="28"/>
        </w:rPr>
        <w:t>在提供参考价时间段内没有</w:t>
      </w:r>
      <w:r>
        <w:rPr>
          <w:rFonts w:ascii="仿宋" w:hAnsi="仿宋" w:eastAsia="仿宋" w:cs="仿宋"/>
          <w:sz w:val="28"/>
          <w:szCs w:val="28"/>
        </w:rPr>
        <w:t>有效</w:t>
      </w:r>
      <w:r>
        <w:rPr>
          <w:rFonts w:hint="eastAsia" w:ascii="仿宋" w:hAnsi="仿宋" w:eastAsia="仿宋" w:cs="仿宋"/>
          <w:sz w:val="28"/>
          <w:szCs w:val="28"/>
        </w:rPr>
        <w:t>价</w:t>
      </w:r>
      <w:r>
        <w:rPr>
          <w:rFonts w:ascii="仿宋" w:hAnsi="仿宋" w:eastAsia="仿宋" w:cs="仿宋"/>
          <w:sz w:val="28"/>
          <w:szCs w:val="28"/>
        </w:rPr>
        <w:t>格</w:t>
      </w:r>
      <w:r>
        <w:rPr>
          <w:rFonts w:hint="eastAsia" w:ascii="仿宋" w:hAnsi="仿宋" w:eastAsia="仿宋" w:cs="仿宋"/>
          <w:sz w:val="28"/>
          <w:szCs w:val="28"/>
        </w:rPr>
        <w:t>，则</w:t>
      </w:r>
      <w:r>
        <w:rPr>
          <w:rFonts w:ascii="仿宋" w:hAnsi="仿宋" w:eastAsia="仿宋" w:cs="仿宋"/>
          <w:sz w:val="28"/>
          <w:szCs w:val="28"/>
        </w:rPr>
        <w:t>以</w:t>
      </w:r>
      <w:r>
        <w:rPr>
          <w:rFonts w:hint="eastAsia" w:ascii="仿宋" w:hAnsi="仿宋" w:eastAsia="仿宋" w:cs="仿宋"/>
          <w:sz w:val="28"/>
          <w:szCs w:val="28"/>
        </w:rPr>
        <w:t>上个场次的上海金人民币基准价作为本场次的初始价。</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每场的报量环节由市场申报和补充申报两个倒计时时段组成。会员、客户可参与市场申报，定价成员可参与市场申报和补充申报。</w:t>
      </w:r>
      <w:r>
        <w:rPr>
          <w:rFonts w:hint="eastAsia" w:ascii="仿宋" w:hAnsi="仿宋" w:eastAsia="仿宋" w:cs="仿宋"/>
          <w:sz w:val="28"/>
          <w:szCs w:val="28"/>
        </w:rPr>
        <w:br w:type="textWrapping"/>
      </w:r>
      <w:r>
        <w:rPr>
          <w:rFonts w:hint="eastAsia" w:ascii="仿宋" w:hAnsi="仿宋" w:eastAsia="仿宋" w:cs="仿宋"/>
          <w:sz w:val="28"/>
          <w:szCs w:val="28"/>
        </w:rPr>
        <w:t xml:space="preserve">    每一次市场申报和补充申报合称为一轮。首轮市场申报时段和补充申报时段的时间安排分别为60秒和10秒。自第二轮开始，每轮市场申报时段和补充申报时段的时间安排分别为30秒和10秒。</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会员和客户针对每一轮出价申报买入量或卖出量。</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上海金集中定价交易买</w:t>
      </w:r>
      <w:r>
        <w:rPr>
          <w:rFonts w:ascii="仿宋" w:hAnsi="仿宋" w:eastAsia="仿宋" w:cs="仿宋"/>
          <w:sz w:val="28"/>
          <w:szCs w:val="28"/>
        </w:rPr>
        <w:t>入与卖出</w:t>
      </w:r>
      <w:r>
        <w:rPr>
          <w:rFonts w:hint="eastAsia" w:ascii="仿宋" w:hAnsi="仿宋" w:eastAsia="仿宋" w:cs="仿宋"/>
          <w:sz w:val="28"/>
          <w:szCs w:val="28"/>
        </w:rPr>
        <w:t>的量差（以下简称“量差”）是指申报买入量与申报卖出量的差额对应的千克数。当量差等于或小于成交阀值，则满足集中定价成交条件。成交阀值根据交易所公告执行。</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会员和客户在前后轮次之间的撤单需遵循“价优不减量”原则，即某轮集中定价申报未满足成交条件进入下一轮，当出价相对上轮下跌时，系统自动撤销卖方的所有申报，不允许买方减少或撤销申报；当出价相对上轮上涨时，系统自动撤销买方的所有申报，不允许卖方减少或撤销申报。被撤销一方的会员和客户认同新一轮出价的，需要重新报量。</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定价成员在某轮补充申报时段的申报量，仅用于补足市场申报的买卖量差额，不能反转本轮市场申报时段确立的买卖对比方向。按照时间优先的原则，大于市场申报买卖差额部分的补充申报量无效。</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补充申报时段结束，若量差仍未满足集中定价成交条件，交易系统根据买卖量差情况调整出价，发起下一轮询量过程。当卖出量减去买入量的差量大于成交阀值时下调价格，当买入量减去卖出量的差量大于成交阀值时上调价格。</w:t>
      </w:r>
    </w:p>
    <w:p>
      <w:pPr>
        <w:pStyle w:val="11"/>
        <w:numPr>
          <w:ilvl w:val="0"/>
          <w:numId w:val="1"/>
        </w:numPr>
        <w:ind w:firstLine="566" w:firstLineChars="202"/>
        <w:rPr>
          <w:rFonts w:ascii="仿宋" w:hAnsi="仿宋" w:eastAsia="仿宋" w:cs="仿宋"/>
          <w:sz w:val="28"/>
          <w:szCs w:val="28"/>
        </w:rPr>
      </w:pPr>
      <w:r>
        <w:rPr>
          <w:rFonts w:hint="eastAsia" w:ascii="仿宋" w:hAnsi="仿宋" w:eastAsia="仿宋" w:cs="仿宋"/>
          <w:sz w:val="28"/>
          <w:szCs w:val="28"/>
        </w:rPr>
        <w:t>每场集中定价的首轮为A轮，之后依次为B、C、D、…轮，在B轮价格较A轮上涨（或下跌）的基础上，如果C轮价格较B轮上涨（或下跌）则称价格为同向变动，反之，则称价格为转向变动。当A轮量差大于400手且小于2</w:t>
      </w:r>
      <w:r>
        <w:rPr>
          <w:rFonts w:ascii="仿宋" w:hAnsi="仿宋" w:eastAsia="仿宋" w:cs="仿宋"/>
          <w:sz w:val="28"/>
          <w:szCs w:val="28"/>
        </w:rPr>
        <w:t>,</w:t>
      </w:r>
      <w:r>
        <w:rPr>
          <w:rFonts w:hint="eastAsia" w:ascii="仿宋" w:hAnsi="仿宋" w:eastAsia="仿宋" w:cs="仿宋"/>
          <w:sz w:val="28"/>
          <w:szCs w:val="28"/>
        </w:rPr>
        <w:t>000手的，B轮价格调整步长为0.20元/克；量差大于或等于2</w:t>
      </w:r>
      <w:r>
        <w:rPr>
          <w:rFonts w:ascii="仿宋" w:hAnsi="仿宋" w:eastAsia="仿宋" w:cs="仿宋"/>
          <w:sz w:val="28"/>
          <w:szCs w:val="28"/>
        </w:rPr>
        <w:t>,</w:t>
      </w:r>
      <w:r>
        <w:rPr>
          <w:rFonts w:hint="eastAsia" w:ascii="仿宋" w:hAnsi="仿宋" w:eastAsia="仿宋" w:cs="仿宋"/>
          <w:sz w:val="28"/>
          <w:szCs w:val="28"/>
        </w:rPr>
        <w:t>000手且小于30</w:t>
      </w:r>
      <w:r>
        <w:rPr>
          <w:rFonts w:ascii="仿宋" w:hAnsi="仿宋" w:eastAsia="仿宋" w:cs="仿宋"/>
          <w:sz w:val="28"/>
          <w:szCs w:val="28"/>
        </w:rPr>
        <w:t>,</w:t>
      </w:r>
      <w:r>
        <w:rPr>
          <w:rFonts w:hint="eastAsia" w:ascii="仿宋" w:hAnsi="仿宋" w:eastAsia="仿宋" w:cs="仿宋"/>
          <w:sz w:val="28"/>
          <w:szCs w:val="28"/>
        </w:rPr>
        <w:t>000手的，B轮价格调整步长为0.30元/克；量差大于等于30</w:t>
      </w:r>
      <w:r>
        <w:rPr>
          <w:rFonts w:ascii="仿宋" w:hAnsi="仿宋" w:eastAsia="仿宋" w:cs="仿宋"/>
          <w:sz w:val="28"/>
          <w:szCs w:val="28"/>
        </w:rPr>
        <w:t>,</w:t>
      </w:r>
      <w:r>
        <w:rPr>
          <w:rFonts w:hint="eastAsia" w:ascii="仿宋" w:hAnsi="仿宋" w:eastAsia="仿宋" w:cs="仿宋"/>
          <w:sz w:val="28"/>
          <w:szCs w:val="28"/>
        </w:rPr>
        <w:t>000手的，B轮价格调整步长为0.40元/克。当C轮价格同向变动时，价格调整步长同B轮；当C轮价格转向时， C轮价格调整步长为B轮的50%。依此类推。交易所可以根据情况，对申报量差及价格调整步长进行调整。</w:t>
      </w:r>
    </w:p>
    <w:tbl>
      <w:tblPr>
        <w:tblStyle w:val="10"/>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1559"/>
        <w:gridCol w:w="212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7"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A轮</w:t>
            </w:r>
            <w:r>
              <w:rPr>
                <w:rFonts w:ascii="仿宋" w:hAnsi="仿宋" w:eastAsia="仿宋" w:cs="仿宋"/>
                <w:kern w:val="0"/>
                <w:sz w:val="20"/>
                <w:szCs w:val="21"/>
              </w:rPr>
              <w:t>量差</w:t>
            </w:r>
            <w:r>
              <w:rPr>
                <w:rFonts w:hint="eastAsia" w:ascii="仿宋" w:hAnsi="仿宋" w:eastAsia="仿宋" w:cs="仿宋"/>
                <w:kern w:val="0"/>
                <w:sz w:val="20"/>
                <w:szCs w:val="21"/>
              </w:rPr>
              <w:t>范围</w:t>
            </w:r>
            <w:r>
              <w:rPr>
                <w:rFonts w:ascii="仿宋" w:hAnsi="仿宋" w:eastAsia="仿宋" w:cs="仿宋"/>
                <w:kern w:val="0"/>
                <w:sz w:val="20"/>
                <w:szCs w:val="21"/>
              </w:rPr>
              <w:t>（</w:t>
            </w:r>
            <w:r>
              <w:rPr>
                <w:rFonts w:hint="eastAsia" w:ascii="仿宋" w:hAnsi="仿宋" w:eastAsia="仿宋" w:cs="仿宋"/>
                <w:kern w:val="0"/>
                <w:sz w:val="20"/>
                <w:szCs w:val="21"/>
              </w:rPr>
              <w:t>手</w:t>
            </w:r>
            <w:r>
              <w:rPr>
                <w:rFonts w:ascii="仿宋" w:hAnsi="仿宋" w:eastAsia="仿宋" w:cs="仿宋"/>
                <w:kern w:val="0"/>
                <w:sz w:val="20"/>
                <w:szCs w:val="21"/>
              </w:rPr>
              <w:t>）</w:t>
            </w:r>
          </w:p>
        </w:tc>
        <w:tc>
          <w:tcPr>
            <w:tcW w:w="1559"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B轮价格</w:t>
            </w:r>
            <w:r>
              <w:rPr>
                <w:rFonts w:ascii="仿宋" w:hAnsi="仿宋" w:eastAsia="仿宋" w:cs="仿宋"/>
                <w:kern w:val="0"/>
                <w:sz w:val="20"/>
                <w:szCs w:val="21"/>
              </w:rPr>
              <w:t>调整步长</w:t>
            </w:r>
            <w:r>
              <w:rPr>
                <w:rFonts w:hint="eastAsia" w:ascii="仿宋" w:hAnsi="仿宋" w:eastAsia="仿宋" w:cs="仿宋"/>
                <w:kern w:val="0"/>
                <w:sz w:val="20"/>
                <w:szCs w:val="21"/>
              </w:rPr>
              <w:t>（元/克）</w:t>
            </w:r>
          </w:p>
        </w:tc>
        <w:tc>
          <w:tcPr>
            <w:tcW w:w="2126" w:type="dxa"/>
          </w:tcPr>
          <w:p>
            <w:pPr>
              <w:pStyle w:val="11"/>
              <w:ind w:firstLine="0" w:firstLineChars="0"/>
              <w:rPr>
                <w:rFonts w:ascii="仿宋" w:hAnsi="仿宋" w:eastAsia="仿宋" w:cs="仿宋"/>
                <w:kern w:val="0"/>
                <w:sz w:val="20"/>
                <w:szCs w:val="21"/>
              </w:rPr>
            </w:pPr>
            <w:r>
              <w:rPr>
                <w:rFonts w:ascii="仿宋" w:hAnsi="仿宋" w:eastAsia="仿宋" w:cs="仿宋"/>
                <w:kern w:val="0"/>
                <w:sz w:val="20"/>
                <w:szCs w:val="21"/>
              </w:rPr>
              <w:t>C</w:t>
            </w:r>
            <w:r>
              <w:rPr>
                <w:rFonts w:hint="eastAsia" w:ascii="仿宋" w:hAnsi="仿宋" w:eastAsia="仿宋" w:cs="仿宋"/>
                <w:kern w:val="0"/>
                <w:sz w:val="20"/>
                <w:szCs w:val="21"/>
              </w:rPr>
              <w:t>轮价格同</w:t>
            </w:r>
            <w:r>
              <w:rPr>
                <w:rFonts w:ascii="仿宋" w:hAnsi="仿宋" w:eastAsia="仿宋" w:cs="仿宋"/>
                <w:kern w:val="0"/>
                <w:sz w:val="20"/>
                <w:szCs w:val="21"/>
              </w:rPr>
              <w:t>向变动</w:t>
            </w:r>
            <w:r>
              <w:rPr>
                <w:rFonts w:hint="eastAsia" w:ascii="仿宋" w:hAnsi="仿宋" w:eastAsia="仿宋" w:cs="仿宋"/>
                <w:kern w:val="0"/>
                <w:sz w:val="20"/>
                <w:szCs w:val="21"/>
              </w:rPr>
              <w:t>价格</w:t>
            </w:r>
            <w:r>
              <w:rPr>
                <w:rFonts w:ascii="仿宋" w:hAnsi="仿宋" w:eastAsia="仿宋" w:cs="仿宋"/>
                <w:kern w:val="0"/>
                <w:sz w:val="20"/>
                <w:szCs w:val="21"/>
              </w:rPr>
              <w:t>调整步长</w:t>
            </w:r>
            <w:r>
              <w:rPr>
                <w:rFonts w:hint="eastAsia" w:ascii="仿宋" w:hAnsi="仿宋" w:eastAsia="仿宋" w:cs="仿宋"/>
                <w:kern w:val="0"/>
                <w:sz w:val="20"/>
                <w:szCs w:val="21"/>
              </w:rPr>
              <w:t>（元/克）</w:t>
            </w:r>
          </w:p>
        </w:tc>
        <w:tc>
          <w:tcPr>
            <w:tcW w:w="2123" w:type="dxa"/>
          </w:tcPr>
          <w:p>
            <w:pPr>
              <w:pStyle w:val="11"/>
              <w:ind w:firstLine="0" w:firstLineChars="0"/>
              <w:rPr>
                <w:rFonts w:ascii="仿宋" w:hAnsi="仿宋" w:eastAsia="仿宋" w:cs="仿宋"/>
                <w:kern w:val="0"/>
                <w:sz w:val="20"/>
                <w:szCs w:val="21"/>
              </w:rPr>
            </w:pPr>
            <w:r>
              <w:rPr>
                <w:rFonts w:ascii="仿宋" w:hAnsi="仿宋" w:eastAsia="仿宋" w:cs="仿宋"/>
                <w:kern w:val="0"/>
                <w:sz w:val="20"/>
                <w:szCs w:val="21"/>
              </w:rPr>
              <w:t>C</w:t>
            </w:r>
            <w:r>
              <w:rPr>
                <w:rFonts w:hint="eastAsia" w:ascii="仿宋" w:hAnsi="仿宋" w:eastAsia="仿宋" w:cs="仿宋"/>
                <w:kern w:val="0"/>
                <w:sz w:val="20"/>
                <w:szCs w:val="21"/>
              </w:rPr>
              <w:t>轮价格转</w:t>
            </w:r>
            <w:r>
              <w:rPr>
                <w:rFonts w:ascii="仿宋" w:hAnsi="仿宋" w:eastAsia="仿宋" w:cs="仿宋"/>
                <w:kern w:val="0"/>
                <w:sz w:val="20"/>
                <w:szCs w:val="21"/>
              </w:rPr>
              <w:t>向变动</w:t>
            </w:r>
            <w:r>
              <w:rPr>
                <w:rFonts w:hint="eastAsia" w:ascii="仿宋" w:hAnsi="仿宋" w:eastAsia="仿宋" w:cs="仿宋"/>
                <w:kern w:val="0"/>
                <w:sz w:val="20"/>
                <w:szCs w:val="21"/>
              </w:rPr>
              <w:t>价格</w:t>
            </w:r>
            <w:r>
              <w:rPr>
                <w:rFonts w:ascii="仿宋" w:hAnsi="仿宋" w:eastAsia="仿宋" w:cs="仿宋"/>
                <w:kern w:val="0"/>
                <w:sz w:val="20"/>
                <w:szCs w:val="21"/>
              </w:rPr>
              <w:t>调整步长</w:t>
            </w:r>
            <w:r>
              <w:rPr>
                <w:rFonts w:hint="eastAsia" w:ascii="仿宋" w:hAnsi="仿宋" w:eastAsia="仿宋" w:cs="仿宋"/>
                <w:kern w:val="0"/>
                <w:sz w:val="20"/>
                <w:szCs w:val="21"/>
              </w:rPr>
              <w:t>（元/克）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7"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 xml:space="preserve">400＜ </w:t>
            </w:r>
            <w:r>
              <w:rPr>
                <w:rFonts w:ascii="仿宋" w:hAnsi="仿宋" w:eastAsia="仿宋" w:cs="仿宋"/>
                <w:kern w:val="0"/>
                <w:sz w:val="20"/>
                <w:szCs w:val="21"/>
              </w:rPr>
              <w:t>A</w:t>
            </w:r>
            <w:r>
              <w:rPr>
                <w:rFonts w:hint="eastAsia" w:ascii="仿宋" w:hAnsi="仿宋" w:eastAsia="仿宋" w:cs="仿宋"/>
                <w:kern w:val="0"/>
                <w:sz w:val="20"/>
                <w:szCs w:val="21"/>
              </w:rPr>
              <w:t>轮</w:t>
            </w:r>
            <w:r>
              <w:rPr>
                <w:rFonts w:ascii="仿宋" w:hAnsi="仿宋" w:eastAsia="仿宋" w:cs="仿宋"/>
                <w:kern w:val="0"/>
                <w:sz w:val="20"/>
                <w:szCs w:val="21"/>
              </w:rPr>
              <w:t xml:space="preserve">量差 </w:t>
            </w:r>
            <w:r>
              <w:rPr>
                <w:rFonts w:hint="eastAsia" w:ascii="仿宋" w:hAnsi="仿宋" w:eastAsia="仿宋" w:cs="仿宋"/>
                <w:kern w:val="0"/>
                <w:sz w:val="20"/>
                <w:szCs w:val="21"/>
              </w:rPr>
              <w:t>＜2</w:t>
            </w:r>
            <w:r>
              <w:rPr>
                <w:rFonts w:ascii="仿宋" w:hAnsi="仿宋" w:eastAsia="仿宋" w:cs="仿宋"/>
                <w:kern w:val="0"/>
                <w:sz w:val="20"/>
                <w:szCs w:val="21"/>
              </w:rPr>
              <w:t>,</w:t>
            </w:r>
            <w:r>
              <w:rPr>
                <w:rFonts w:hint="eastAsia" w:ascii="仿宋" w:hAnsi="仿宋" w:eastAsia="仿宋" w:cs="仿宋"/>
                <w:kern w:val="0"/>
                <w:sz w:val="20"/>
                <w:szCs w:val="21"/>
              </w:rPr>
              <w:t>000</w:t>
            </w:r>
          </w:p>
        </w:tc>
        <w:tc>
          <w:tcPr>
            <w:tcW w:w="1559"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 xml:space="preserve">0.2 </w:t>
            </w:r>
          </w:p>
        </w:tc>
        <w:tc>
          <w:tcPr>
            <w:tcW w:w="2126"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同B轮</w:t>
            </w:r>
          </w:p>
        </w:tc>
        <w:tc>
          <w:tcPr>
            <w:tcW w:w="2123"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B轮</w:t>
            </w:r>
            <w:r>
              <w:rPr>
                <w:rFonts w:ascii="仿宋" w:hAnsi="仿宋" w:eastAsia="仿宋" w:cs="仿宋"/>
                <w:kern w:val="0"/>
                <w:sz w:val="20"/>
                <w:szCs w:val="21"/>
              </w:rPr>
              <w:t>步长的</w:t>
            </w:r>
            <w:r>
              <w:rPr>
                <w:rFonts w:hint="eastAsia" w:ascii="仿宋" w:hAnsi="仿宋" w:eastAsia="仿宋" w:cs="仿宋"/>
                <w:kern w:val="0"/>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7" w:type="dxa"/>
          </w:tcPr>
          <w:p>
            <w:pPr>
              <w:pStyle w:val="11"/>
              <w:ind w:firstLine="0" w:firstLineChars="0"/>
              <w:rPr>
                <w:rFonts w:ascii="仿宋" w:hAnsi="仿宋" w:eastAsia="仿宋" w:cs="仿宋"/>
                <w:kern w:val="0"/>
                <w:sz w:val="20"/>
                <w:szCs w:val="21"/>
              </w:rPr>
            </w:pPr>
            <w:r>
              <w:rPr>
                <w:rFonts w:ascii="仿宋" w:hAnsi="仿宋" w:eastAsia="仿宋" w:cs="仿宋"/>
                <w:kern w:val="0"/>
                <w:sz w:val="20"/>
                <w:szCs w:val="21"/>
              </w:rPr>
              <w:t>2,000</w:t>
            </w:r>
            <w:r>
              <w:rPr>
                <w:rFonts w:hint="eastAsia" w:ascii="仿宋" w:hAnsi="仿宋" w:eastAsia="仿宋" w:cs="仿宋"/>
                <w:kern w:val="0"/>
                <w:sz w:val="20"/>
                <w:szCs w:val="21"/>
              </w:rPr>
              <w:t xml:space="preserve">≤ </w:t>
            </w:r>
            <w:r>
              <w:rPr>
                <w:rFonts w:ascii="仿宋" w:hAnsi="仿宋" w:eastAsia="仿宋" w:cs="仿宋"/>
                <w:kern w:val="0"/>
                <w:sz w:val="20"/>
                <w:szCs w:val="21"/>
              </w:rPr>
              <w:t>A</w:t>
            </w:r>
            <w:r>
              <w:rPr>
                <w:rFonts w:hint="eastAsia" w:ascii="仿宋" w:hAnsi="仿宋" w:eastAsia="仿宋" w:cs="仿宋"/>
                <w:kern w:val="0"/>
                <w:sz w:val="20"/>
                <w:szCs w:val="21"/>
              </w:rPr>
              <w:t>轮</w:t>
            </w:r>
            <w:r>
              <w:rPr>
                <w:rFonts w:ascii="仿宋" w:hAnsi="仿宋" w:eastAsia="仿宋" w:cs="仿宋"/>
                <w:kern w:val="0"/>
                <w:sz w:val="20"/>
                <w:szCs w:val="21"/>
              </w:rPr>
              <w:t xml:space="preserve">量差 </w:t>
            </w:r>
            <w:r>
              <w:rPr>
                <w:rFonts w:hint="eastAsia" w:ascii="仿宋" w:hAnsi="仿宋" w:eastAsia="仿宋" w:cs="仿宋"/>
                <w:kern w:val="0"/>
                <w:sz w:val="20"/>
                <w:szCs w:val="21"/>
              </w:rPr>
              <w:t>＜</w:t>
            </w:r>
            <w:r>
              <w:rPr>
                <w:rFonts w:ascii="仿宋" w:hAnsi="仿宋" w:eastAsia="仿宋" w:cs="仿宋"/>
                <w:kern w:val="0"/>
                <w:sz w:val="20"/>
                <w:szCs w:val="21"/>
              </w:rPr>
              <w:t>30,000</w:t>
            </w:r>
          </w:p>
        </w:tc>
        <w:tc>
          <w:tcPr>
            <w:tcW w:w="1559"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0.3</w:t>
            </w:r>
          </w:p>
        </w:tc>
        <w:tc>
          <w:tcPr>
            <w:tcW w:w="2126"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同B轮</w:t>
            </w:r>
          </w:p>
        </w:tc>
        <w:tc>
          <w:tcPr>
            <w:tcW w:w="2123"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B轮</w:t>
            </w:r>
            <w:r>
              <w:rPr>
                <w:rFonts w:ascii="仿宋" w:hAnsi="仿宋" w:eastAsia="仿宋" w:cs="仿宋"/>
                <w:kern w:val="0"/>
                <w:sz w:val="20"/>
                <w:szCs w:val="21"/>
              </w:rPr>
              <w:t>步长的</w:t>
            </w:r>
            <w:r>
              <w:rPr>
                <w:rFonts w:hint="eastAsia" w:ascii="仿宋" w:hAnsi="仿宋" w:eastAsia="仿宋" w:cs="仿宋"/>
                <w:kern w:val="0"/>
                <w:sz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57" w:type="dxa"/>
          </w:tcPr>
          <w:p>
            <w:pPr>
              <w:pStyle w:val="11"/>
              <w:ind w:firstLine="0" w:firstLineChars="0"/>
              <w:rPr>
                <w:rFonts w:ascii="仿宋" w:hAnsi="仿宋" w:eastAsia="仿宋" w:cs="仿宋"/>
                <w:kern w:val="0"/>
                <w:sz w:val="20"/>
                <w:szCs w:val="21"/>
              </w:rPr>
            </w:pPr>
            <w:r>
              <w:rPr>
                <w:rFonts w:ascii="仿宋" w:hAnsi="仿宋" w:eastAsia="仿宋" w:cs="仿宋"/>
                <w:kern w:val="0"/>
                <w:sz w:val="20"/>
                <w:szCs w:val="21"/>
              </w:rPr>
              <w:t>A</w:t>
            </w:r>
            <w:r>
              <w:rPr>
                <w:rFonts w:hint="eastAsia" w:ascii="仿宋" w:hAnsi="仿宋" w:eastAsia="仿宋" w:cs="仿宋"/>
                <w:kern w:val="0"/>
                <w:sz w:val="20"/>
                <w:szCs w:val="21"/>
              </w:rPr>
              <w:t>轮</w:t>
            </w:r>
            <w:r>
              <w:rPr>
                <w:rFonts w:ascii="仿宋" w:hAnsi="仿宋" w:eastAsia="仿宋" w:cs="仿宋"/>
                <w:kern w:val="0"/>
                <w:sz w:val="20"/>
                <w:szCs w:val="21"/>
              </w:rPr>
              <w:t>量差</w:t>
            </w:r>
            <w:r>
              <w:rPr>
                <w:rFonts w:hint="eastAsia" w:ascii="仿宋" w:hAnsi="仿宋" w:eastAsia="仿宋" w:cs="仿宋"/>
                <w:kern w:val="0"/>
                <w:sz w:val="20"/>
                <w:szCs w:val="21"/>
              </w:rPr>
              <w:t>≥30</w:t>
            </w:r>
            <w:r>
              <w:rPr>
                <w:rFonts w:ascii="仿宋" w:hAnsi="仿宋" w:eastAsia="仿宋" w:cs="仿宋"/>
                <w:kern w:val="0"/>
                <w:sz w:val="20"/>
                <w:szCs w:val="21"/>
              </w:rPr>
              <w:t>,</w:t>
            </w:r>
            <w:r>
              <w:rPr>
                <w:rFonts w:hint="eastAsia" w:ascii="仿宋" w:hAnsi="仿宋" w:eastAsia="仿宋" w:cs="仿宋"/>
                <w:kern w:val="0"/>
                <w:sz w:val="20"/>
                <w:szCs w:val="21"/>
              </w:rPr>
              <w:t>000</w:t>
            </w:r>
          </w:p>
        </w:tc>
        <w:tc>
          <w:tcPr>
            <w:tcW w:w="1559"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0.4</w:t>
            </w:r>
          </w:p>
        </w:tc>
        <w:tc>
          <w:tcPr>
            <w:tcW w:w="2126"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同B轮</w:t>
            </w:r>
          </w:p>
        </w:tc>
        <w:tc>
          <w:tcPr>
            <w:tcW w:w="2123" w:type="dxa"/>
          </w:tcPr>
          <w:p>
            <w:pPr>
              <w:pStyle w:val="11"/>
              <w:ind w:firstLine="0" w:firstLineChars="0"/>
              <w:rPr>
                <w:rFonts w:ascii="仿宋" w:hAnsi="仿宋" w:eastAsia="仿宋" w:cs="仿宋"/>
                <w:kern w:val="0"/>
                <w:sz w:val="20"/>
                <w:szCs w:val="21"/>
              </w:rPr>
            </w:pPr>
            <w:r>
              <w:rPr>
                <w:rFonts w:hint="eastAsia" w:ascii="仿宋" w:hAnsi="仿宋" w:eastAsia="仿宋" w:cs="仿宋"/>
                <w:kern w:val="0"/>
                <w:sz w:val="20"/>
                <w:szCs w:val="21"/>
              </w:rPr>
              <w:t>B轮</w:t>
            </w:r>
            <w:r>
              <w:rPr>
                <w:rFonts w:ascii="仿宋" w:hAnsi="仿宋" w:eastAsia="仿宋" w:cs="仿宋"/>
                <w:kern w:val="0"/>
                <w:sz w:val="20"/>
                <w:szCs w:val="21"/>
              </w:rPr>
              <w:t>步长的</w:t>
            </w:r>
            <w:r>
              <w:rPr>
                <w:rFonts w:hint="eastAsia" w:ascii="仿宋" w:hAnsi="仿宋" w:eastAsia="仿宋" w:cs="仿宋"/>
                <w:kern w:val="0"/>
                <w:sz w:val="20"/>
                <w:szCs w:val="21"/>
              </w:rPr>
              <w:t>50%</w:t>
            </w:r>
          </w:p>
        </w:tc>
      </w:tr>
    </w:tbl>
    <w:p>
      <w:pPr>
        <w:pStyle w:val="11"/>
        <w:numPr>
          <w:ilvl w:val="0"/>
          <w:numId w:val="1"/>
        </w:numPr>
        <w:ind w:firstLine="566" w:firstLineChars="202"/>
        <w:rPr>
          <w:rFonts w:ascii="仿宋" w:hAnsi="仿宋" w:eastAsia="仿宋" w:cs="仿宋"/>
          <w:sz w:val="28"/>
          <w:szCs w:val="28"/>
        </w:rPr>
      </w:pPr>
      <w:r>
        <w:rPr>
          <w:rFonts w:hint="eastAsia" w:ascii="仿宋" w:hAnsi="仿宋" w:eastAsia="仿宋" w:cs="仿宋"/>
          <w:sz w:val="28"/>
          <w:szCs w:val="28"/>
        </w:rPr>
        <w:t>若某轮补充申报结束，量差仍未满足形成定价成交条件，定价成员在该轮的补充申报将转换成下一轮的市场申报，该定价成员对已申报量的撤销须符合第二十八条的规定。</w:t>
      </w:r>
    </w:p>
    <w:p>
      <w:pPr>
        <w:numPr>
          <w:ilvl w:val="0"/>
          <w:numId w:val="1"/>
        </w:numPr>
        <w:pBdr>
          <w:top w:val="none" w:color="000000" w:sz="0" w:space="0"/>
          <w:left w:val="none" w:color="000000" w:sz="0" w:space="0"/>
          <w:bottom w:val="none" w:color="000000" w:sz="0" w:space="0"/>
          <w:right w:val="none" w:color="000000" w:sz="0" w:space="1"/>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每轮补充申报结束，量差符合集中定价成交条件时，本场集中定价结束，产生上</w:t>
      </w:r>
      <w:r>
        <w:rPr>
          <w:rFonts w:ascii="仿宋" w:hAnsi="仿宋" w:eastAsia="仿宋" w:cs="仿宋"/>
          <w:sz w:val="28"/>
          <w:szCs w:val="28"/>
        </w:rPr>
        <w:t>海金</w:t>
      </w:r>
      <w:r>
        <w:rPr>
          <w:rFonts w:hint="eastAsia" w:ascii="仿宋" w:hAnsi="仿宋" w:eastAsia="仿宋" w:cs="仿宋"/>
          <w:sz w:val="28"/>
          <w:szCs w:val="28"/>
        </w:rPr>
        <w:t>集中定价基准价格。</w:t>
      </w:r>
    </w:p>
    <w:p>
      <w:pPr>
        <w:pStyle w:val="11"/>
        <w:numPr>
          <w:ilvl w:val="0"/>
          <w:numId w:val="1"/>
        </w:numPr>
        <w:ind w:firstLine="566" w:firstLineChars="0"/>
        <w:rPr>
          <w:rFonts w:ascii="仿宋" w:hAnsi="仿宋" w:eastAsia="仿宋" w:cs="仿宋"/>
          <w:sz w:val="28"/>
          <w:szCs w:val="28"/>
        </w:rPr>
      </w:pPr>
      <w:r>
        <w:rPr>
          <w:rFonts w:hint="eastAsia" w:ascii="仿宋" w:hAnsi="仿宋" w:eastAsia="仿宋" w:cs="仿宋"/>
          <w:sz w:val="28"/>
          <w:szCs w:val="28"/>
        </w:rPr>
        <w:t>每场集中定价结束后，量差由全部定价成员平均分担。最后一轮中的所有有效申报按基准价格全部成交。</w:t>
      </w:r>
    </w:p>
    <w:p>
      <w:pPr>
        <w:numPr>
          <w:ilvl w:val="0"/>
          <w:numId w:val="1"/>
        </w:numPr>
        <w:pBdr>
          <w:top w:val="none" w:color="000000" w:sz="0" w:space="0"/>
          <w:left w:val="none" w:color="000000" w:sz="0" w:space="0"/>
          <w:bottom w:val="none" w:color="000000" w:sz="0" w:space="0"/>
          <w:right w:val="none" w:color="000000" w:sz="0" w:space="1"/>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当出现首轮集中定价没有有效申报的情况时，以初始价作为该场集中定价的基准价。如果该场集中定价没有形成基准价，则以上场集中定价形成的基准价作为本场集中定价的基准价。</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交易所对市场交易进行监控，发现交易出现异常情形的，有权对相关会员或者客户采取相应监管措施。</w:t>
      </w:r>
    </w:p>
    <w:p>
      <w:pPr>
        <w:numPr>
          <w:ilvl w:val="0"/>
          <w:numId w:val="1"/>
        </w:numPr>
        <w:pBdr>
          <w:top w:val="none" w:color="000000" w:sz="0" w:space="0"/>
          <w:left w:val="none" w:color="000000" w:sz="0" w:space="0"/>
          <w:bottom w:val="none" w:color="000000" w:sz="0" w:space="0"/>
          <w:right w:val="none" w:color="000000" w:sz="0" w:space="1"/>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交易所对参与集中定价交易的会员收取交易手续费，交易手续费率根据交易所公告执行。</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交易所集中定价交易系统实时显示集中定价交易的出价、市场申报量、补充申报量、最终基准价、成交量等行情信息。交易所通过网站等渠道发布上海金基准价相关信息。</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p>
    <w:p>
      <w:pPr>
        <w:pBdr>
          <w:top w:val="none" w:color="000000" w:sz="0" w:space="0"/>
          <w:left w:val="none" w:color="000000" w:sz="0" w:space="1"/>
          <w:bottom w:val="none" w:color="000000" w:sz="0" w:space="0"/>
          <w:right w:val="none" w:color="000000" w:sz="0" w:space="0"/>
        </w:pBdr>
        <w:autoSpaceDN w:val="0"/>
        <w:snapToGrid w:val="0"/>
        <w:spacing w:line="360" w:lineRule="auto"/>
        <w:jc w:val="center"/>
        <w:rPr>
          <w:rFonts w:ascii="仿宋" w:hAnsi="仿宋" w:eastAsia="仿宋" w:cs="仿宋"/>
          <w:sz w:val="28"/>
          <w:szCs w:val="28"/>
        </w:rPr>
      </w:pPr>
      <w:r>
        <w:rPr>
          <w:rFonts w:hint="eastAsia" w:ascii="黑体" w:hAnsi="黑体" w:eastAsia="黑体"/>
          <w:sz w:val="30"/>
          <w:szCs w:val="30"/>
        </w:rPr>
        <w:t>第四章  清算与交割</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napToGrid w:val="0"/>
          <w:kern w:val="0"/>
          <w:sz w:val="28"/>
          <w:szCs w:val="28"/>
        </w:rPr>
      </w:pPr>
      <w:r>
        <w:rPr>
          <w:rFonts w:hint="eastAsia" w:ascii="仿宋" w:hAnsi="仿宋" w:eastAsia="仿宋" w:cs="仿宋"/>
          <w:sz w:val="28"/>
          <w:szCs w:val="28"/>
        </w:rPr>
        <w:t>交易所对集中定价交易进行集中清算和交割。</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为了提高参与者的资金利用效率和控制风险，交易所在T+0日日终以午盘的集中定价价格作为合约的结算价，对同一账户早盘和午盘的集中定价成交进行盈亏计算；并对合约净买卖量收取规定比例的保证金。</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在T+2日日终清算时，按T+0日的结算价，对T+0的净头寸执行资金清算和实物交割。</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集中定价成交与交易所的其它交易品种实行同一账户集中清算。在日终清算时，交易所依次按照竞价交易、集中定价交易、询价交易的清算顺序进行清算和交割。</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在T+2日日终清算交割前，买方资金账户应有足额资金，卖方实物账户应有足额实物，若不能满足以上条件，则构成交割违约。交易所将根据违约金比例向违约方收取违约头寸对应的违约金，同时合约终止。违约金比例根据交易所公告执行。</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当违约方清算准备金账户的金额不足以支付违约金时，交易所有权按照《上海黄金交易所风险控制管理办法》对违约方进行处理。</w:t>
      </w:r>
    </w:p>
    <w:p>
      <w:pPr>
        <w:numPr>
          <w:ilvl w:val="0"/>
          <w:numId w:val="1"/>
        </w:numPr>
        <w:pBdr>
          <w:top w:val="none" w:color="000000" w:sz="0" w:space="0"/>
          <w:left w:val="none" w:color="000000" w:sz="0" w:space="1"/>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有关清算和交割的其它规定，参照《上海黄金交易所现货交易资金清算实施细则》和《上海黄金交易所现货交易交割细则》执行。</w:t>
      </w:r>
    </w:p>
    <w:p>
      <w:pPr>
        <w:pBdr>
          <w:top w:val="none" w:color="000000" w:sz="0" w:space="0"/>
          <w:left w:val="none" w:color="000000" w:sz="0" w:space="1"/>
          <w:bottom w:val="none" w:color="000000" w:sz="0" w:space="0"/>
          <w:right w:val="none" w:color="000000" w:sz="0" w:space="0"/>
        </w:pBdr>
        <w:autoSpaceDN w:val="0"/>
        <w:snapToGrid w:val="0"/>
        <w:spacing w:line="360" w:lineRule="auto"/>
        <w:ind w:left="566"/>
        <w:rPr>
          <w:rFonts w:ascii="仿宋" w:hAnsi="仿宋" w:eastAsia="仿宋" w:cs="仿宋"/>
          <w:sz w:val="28"/>
          <w:szCs w:val="28"/>
        </w:rPr>
      </w:pPr>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黑体" w:hAnsi="黑体" w:eastAsia="黑体"/>
          <w:sz w:val="30"/>
          <w:szCs w:val="30"/>
        </w:rPr>
      </w:pPr>
      <w:bookmarkStart w:id="2" w:name="第三章"/>
      <w:r>
        <w:rPr>
          <w:rFonts w:hint="eastAsia" w:ascii="黑体" w:hAnsi="黑体" w:eastAsia="黑体"/>
          <w:sz w:val="30"/>
          <w:szCs w:val="30"/>
        </w:rPr>
        <w:t>第五章　合规性要求</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rPr>
          <w:rFonts w:ascii="仿宋" w:hAnsi="仿宋" w:eastAsia="仿宋" w:cs="仿宋"/>
          <w:sz w:val="28"/>
          <w:szCs w:val="28"/>
        </w:rPr>
      </w:pPr>
      <w:r>
        <w:rPr>
          <w:rFonts w:hint="eastAsia" w:ascii="仿宋" w:hAnsi="仿宋" w:eastAsia="仿宋" w:cs="仿宋"/>
          <w:sz w:val="28"/>
          <w:szCs w:val="28"/>
        </w:rPr>
        <w:t>定价成员以及提供参考价成员须按照当时市场情况提供合理的市场参考价，不得相互商量沟通，联手影响操控初始价。</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rPr>
          <w:rFonts w:ascii="仿宋" w:hAnsi="仿宋" w:eastAsia="仿宋" w:cs="仿宋"/>
          <w:sz w:val="28"/>
          <w:szCs w:val="28"/>
        </w:rPr>
      </w:pPr>
      <w:r>
        <w:rPr>
          <w:rFonts w:hint="eastAsia" w:ascii="仿宋" w:hAnsi="仿宋" w:eastAsia="仿宋" w:cs="仿宋"/>
          <w:sz w:val="28"/>
          <w:szCs w:val="28"/>
        </w:rPr>
        <w:t>会员和客户对每一轮出价的申报量应为其真实交易需求的表达，不得进行虚假交易，扰乱和破坏定价过程和正常的市场秩序。</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会员的自营和代理集中定价交易必须完全分开，由不同的交易团队进行交易。自营和代理交易业务之间应有防火墙。</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当会员和其客户利益发生冲突时，会员应以客户利益优先于会员自身利益的原则进行处理。</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会员不得依据其客户集中定价买卖指令等内幕信息进行任何自营交易。</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在进行集中定价交易时，会员的相关风控部门和岗位人员必须对交易进行监控和不定期现场监督检查。</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进行集中定价交易时，定价成员和提供参考价成员所有的通讯和外界联系必须是通过可以记录的设备完成，并保留通讯记录，须有专人管理和不定期检查。</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严格禁止任何操纵价格、对敲、在同一场次恶意来回买卖等单独或联手扰乱市场，具有误导性和欺诈性的交易行为。</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参与基准价</w:t>
      </w:r>
      <w:r>
        <w:rPr>
          <w:rFonts w:ascii="仿宋" w:hAnsi="仿宋" w:eastAsia="仿宋" w:cs="仿宋"/>
          <w:sz w:val="28"/>
          <w:szCs w:val="28"/>
        </w:rPr>
        <w:t>交易的会员和客户</w:t>
      </w:r>
      <w:r>
        <w:rPr>
          <w:rFonts w:hint="eastAsia" w:ascii="仿宋" w:hAnsi="仿宋" w:eastAsia="仿宋" w:cs="仿宋"/>
          <w:sz w:val="28"/>
          <w:szCs w:val="28"/>
        </w:rPr>
        <w:t>须有完善的合规和交易的档案记录留存，自</w:t>
      </w:r>
      <w:r>
        <w:rPr>
          <w:rFonts w:ascii="仿宋" w:hAnsi="仿宋" w:eastAsia="仿宋" w:cs="仿宋"/>
          <w:sz w:val="28"/>
          <w:szCs w:val="28"/>
        </w:rPr>
        <w:t>营和代理</w:t>
      </w:r>
      <w:r>
        <w:rPr>
          <w:rFonts w:hint="eastAsia" w:ascii="仿宋" w:hAnsi="仿宋" w:eastAsia="仿宋" w:cs="仿宋"/>
          <w:sz w:val="28"/>
          <w:szCs w:val="28"/>
        </w:rPr>
        <w:t>档案须</w:t>
      </w:r>
      <w:r>
        <w:rPr>
          <w:rFonts w:ascii="仿宋" w:hAnsi="仿宋" w:eastAsia="仿宋" w:cs="仿宋"/>
          <w:sz w:val="28"/>
          <w:szCs w:val="28"/>
        </w:rPr>
        <w:t>分开</w:t>
      </w:r>
      <w:r>
        <w:rPr>
          <w:rFonts w:hint="eastAsia" w:ascii="仿宋" w:hAnsi="仿宋" w:eastAsia="仿宋" w:cs="仿宋"/>
          <w:sz w:val="28"/>
          <w:szCs w:val="28"/>
        </w:rPr>
        <w:t>保留，</w:t>
      </w:r>
      <w:r>
        <w:rPr>
          <w:rFonts w:ascii="仿宋" w:hAnsi="仿宋" w:eastAsia="仿宋" w:cs="仿宋"/>
          <w:sz w:val="28"/>
          <w:szCs w:val="28"/>
        </w:rPr>
        <w:t>保留</w:t>
      </w:r>
      <w:r>
        <w:rPr>
          <w:rFonts w:hint="eastAsia" w:ascii="仿宋" w:hAnsi="仿宋" w:eastAsia="仿宋" w:cs="仿宋"/>
          <w:sz w:val="28"/>
          <w:szCs w:val="28"/>
        </w:rPr>
        <w:t>期限不得少于五年。</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所有参加集中定价的相关人员应进行上岗前培训，充分理解集中定价交易业务规则和操作流程。</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7"/>
        <w:rPr>
          <w:rFonts w:ascii="仿宋" w:hAnsi="仿宋" w:eastAsia="仿宋" w:cs="仿宋"/>
          <w:sz w:val="28"/>
          <w:szCs w:val="28"/>
        </w:rPr>
      </w:pPr>
      <w:r>
        <w:rPr>
          <w:rFonts w:hint="eastAsia" w:ascii="仿宋" w:hAnsi="仿宋" w:eastAsia="仿宋" w:cs="仿宋"/>
          <w:sz w:val="28"/>
          <w:szCs w:val="28"/>
        </w:rPr>
        <w:t>由主要市场参与者、交易所以及黄金市场行业协会的专业人士共同</w:t>
      </w:r>
      <w:r>
        <w:rPr>
          <w:rFonts w:ascii="仿宋" w:hAnsi="仿宋" w:eastAsia="仿宋" w:cs="仿宋"/>
          <w:sz w:val="28"/>
          <w:szCs w:val="28"/>
        </w:rPr>
        <w:t>组成</w:t>
      </w:r>
      <w:r>
        <w:rPr>
          <w:rFonts w:hint="eastAsia" w:ascii="仿宋" w:hAnsi="仿宋" w:eastAsia="仿宋" w:cs="仿宋"/>
          <w:sz w:val="28"/>
          <w:szCs w:val="28"/>
        </w:rPr>
        <w:t>上海金集中定价交易监督管理委员会，</w:t>
      </w:r>
      <w:r>
        <w:rPr>
          <w:rFonts w:ascii="仿宋" w:hAnsi="仿宋" w:eastAsia="仿宋" w:cs="仿宋"/>
          <w:sz w:val="28"/>
          <w:szCs w:val="28"/>
        </w:rPr>
        <w:t>对</w:t>
      </w:r>
      <w:r>
        <w:rPr>
          <w:rFonts w:hint="eastAsia" w:ascii="仿宋" w:hAnsi="仿宋" w:eastAsia="仿宋" w:cs="仿宋"/>
          <w:sz w:val="28"/>
          <w:szCs w:val="28"/>
        </w:rPr>
        <w:t>上</w:t>
      </w:r>
      <w:r>
        <w:rPr>
          <w:rFonts w:ascii="仿宋" w:hAnsi="仿宋" w:eastAsia="仿宋" w:cs="仿宋"/>
          <w:sz w:val="28"/>
          <w:szCs w:val="28"/>
        </w:rPr>
        <w:t>海金</w:t>
      </w:r>
      <w:r>
        <w:rPr>
          <w:rFonts w:hint="eastAsia" w:ascii="仿宋" w:hAnsi="仿宋" w:eastAsia="仿宋" w:cs="仿宋"/>
          <w:sz w:val="28"/>
          <w:szCs w:val="28"/>
        </w:rPr>
        <w:t>集中</w:t>
      </w:r>
      <w:r>
        <w:rPr>
          <w:rFonts w:ascii="仿宋" w:hAnsi="仿宋" w:eastAsia="仿宋" w:cs="仿宋"/>
          <w:sz w:val="28"/>
          <w:szCs w:val="28"/>
        </w:rPr>
        <w:t>定价交易业务的合规性进行监督管理。</w:t>
      </w:r>
    </w:p>
    <w:p>
      <w:pPr>
        <w:numPr>
          <w:ilvl w:val="0"/>
          <w:numId w:val="1"/>
        </w:numPr>
        <w:pBdr>
          <w:top w:val="none" w:color="000000" w:sz="0" w:space="0"/>
          <w:left w:val="none" w:color="000000" w:sz="0" w:space="1"/>
          <w:bottom w:val="none" w:color="000000" w:sz="0" w:space="0"/>
          <w:right w:val="none" w:color="000000" w:sz="0" w:space="5"/>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交易所有权不定期对合规性要求的执行情况进行检查，有权对不满足或违反集中定价合规性要求的市场参与者采取口头警告、书面警告、通报批评、取消集中定价交易资格等整改和处罚措施。</w:t>
      </w:r>
    </w:p>
    <w:p>
      <w:pPr>
        <w:pBdr>
          <w:top w:val="none" w:color="000000" w:sz="0" w:space="0"/>
          <w:left w:val="none" w:color="000000" w:sz="0" w:space="0"/>
          <w:bottom w:val="none" w:color="000000" w:sz="0" w:space="0"/>
          <w:right w:val="none" w:color="000000" w:sz="0" w:space="0"/>
        </w:pBdr>
        <w:autoSpaceDN w:val="0"/>
        <w:snapToGrid w:val="0"/>
        <w:spacing w:line="360" w:lineRule="auto"/>
        <w:ind w:left="567"/>
        <w:rPr>
          <w:rFonts w:ascii="仿宋" w:hAnsi="仿宋" w:eastAsia="仿宋" w:cs="仿宋"/>
          <w:sz w:val="28"/>
          <w:szCs w:val="28"/>
        </w:rPr>
      </w:pPr>
    </w:p>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仿宋" w:hAnsi="仿宋" w:eastAsia="仿宋" w:cs="仿宋"/>
          <w:sz w:val="28"/>
          <w:szCs w:val="28"/>
        </w:rPr>
      </w:pPr>
      <w:r>
        <w:rPr>
          <w:rFonts w:hint="eastAsia" w:ascii="黑体" w:hAnsi="黑体" w:eastAsia="黑体"/>
          <w:sz w:val="30"/>
          <w:szCs w:val="30"/>
        </w:rPr>
        <w:t>第六章　违规违约处理</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市场参与者如有违反交易管理相关规定，扰乱市场的行为，按照《上海黄金交易所违规违约处理办法》第二十七条相关规定进行处罚。</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7"/>
        <w:rPr>
          <w:rFonts w:ascii="仿宋" w:hAnsi="仿宋" w:eastAsia="仿宋" w:cs="仿宋"/>
          <w:sz w:val="28"/>
          <w:szCs w:val="28"/>
        </w:rPr>
      </w:pPr>
      <w:r>
        <w:rPr>
          <w:rFonts w:hint="eastAsia" w:ascii="仿宋" w:hAnsi="仿宋" w:eastAsia="仿宋" w:cs="仿宋"/>
          <w:sz w:val="28"/>
          <w:szCs w:val="28"/>
        </w:rPr>
        <w:t>定价成员或提供参考价成员存在以下情形之一的，交易所可以终止其相应的定价成员或提供参考价成员资格：</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（一）相互商量沟通，联手影响操纵初始价；</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（二）影响或操纵市场价格，蓄意破坏定价过程以及市场正常秩序的；</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（三）未遵守交易所风险警示制度的有关要求；</w:t>
      </w:r>
    </w:p>
    <w:p>
      <w:pPr>
        <w:pBdr>
          <w:top w:val="none" w:color="000000" w:sz="0" w:space="0"/>
          <w:left w:val="none" w:color="000000" w:sz="0" w:space="0"/>
          <w:bottom w:val="none" w:color="000000" w:sz="0" w:space="0"/>
          <w:right w:val="none" w:color="000000" w:sz="0" w:space="0"/>
        </w:pBdr>
        <w:autoSpaceDN w:val="0"/>
        <w:snapToGrid w:val="0"/>
        <w:spacing w:line="360" w:lineRule="auto"/>
        <w:ind w:firstLine="426" w:firstLineChars="152"/>
        <w:rPr>
          <w:rFonts w:ascii="仿宋" w:hAnsi="仿宋" w:eastAsia="仿宋" w:cs="仿宋"/>
          <w:sz w:val="28"/>
          <w:szCs w:val="28"/>
        </w:rPr>
      </w:pPr>
      <w:r>
        <w:rPr>
          <w:rFonts w:hint="eastAsia" w:ascii="仿宋" w:hAnsi="仿宋" w:eastAsia="仿宋" w:cs="仿宋"/>
          <w:sz w:val="28"/>
          <w:szCs w:val="28"/>
        </w:rPr>
        <w:t>（四）符合《上海黄金交易所会员管理办法》和交易</w:t>
      </w:r>
      <w:r>
        <w:rPr>
          <w:rFonts w:ascii="仿宋" w:hAnsi="仿宋" w:eastAsia="仿宋" w:cs="仿宋"/>
          <w:sz w:val="28"/>
          <w:szCs w:val="28"/>
        </w:rPr>
        <w:t>所相关规</w:t>
      </w:r>
      <w:r>
        <w:rPr>
          <w:rFonts w:hint="eastAsia" w:ascii="仿宋" w:hAnsi="仿宋" w:eastAsia="仿宋" w:cs="仿宋"/>
          <w:sz w:val="28"/>
          <w:szCs w:val="28"/>
        </w:rPr>
        <w:t>定取消会员资格情形的其他情况。</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被委托代理的会员存在以下行为之一的，按照《上海黄金交易所违规违约处理办法》第十八条相关规定进行处罚。</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（一）未将自营账户资金和客户资金分户存放的；</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（二）利用客户账户为自己或他人交易的；</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（三）泄露客户委托事项或其他交易秘密的；</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（四）未按客户的委托事项进行交易，故意阻止、延误或改变客户下单指令，诱导、强制客户按自己的意志进行交易的；</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（五）利用客户账户为自己或他人交易的；</w:t>
      </w:r>
    </w:p>
    <w:p>
      <w:pPr>
        <w:pBdr>
          <w:top w:val="none" w:color="000000" w:sz="0" w:space="0"/>
          <w:left w:val="none" w:color="000000" w:sz="0" w:space="0"/>
          <w:bottom w:val="none" w:color="000000" w:sz="0" w:space="0"/>
          <w:right w:val="none" w:color="000000" w:sz="0" w:space="0"/>
        </w:pBdr>
        <w:autoSpaceDN w:val="0"/>
        <w:snapToGrid w:val="0"/>
        <w:spacing w:line="360" w:lineRule="auto"/>
        <w:ind w:left="566"/>
        <w:rPr>
          <w:rFonts w:ascii="仿宋" w:hAnsi="仿宋" w:eastAsia="仿宋" w:cs="仿宋"/>
          <w:sz w:val="28"/>
          <w:szCs w:val="28"/>
        </w:rPr>
      </w:pPr>
      <w:r>
        <w:rPr>
          <w:rFonts w:hint="eastAsia" w:ascii="仿宋" w:hAnsi="仿宋" w:eastAsia="仿宋" w:cs="仿宋"/>
          <w:sz w:val="28"/>
          <w:szCs w:val="28"/>
        </w:rPr>
        <w:t>（六）其他违反交易所对代理业务管理规定的行为。</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有违规违约的其</w:t>
      </w:r>
      <w:r>
        <w:rPr>
          <w:rFonts w:ascii="仿宋" w:hAnsi="仿宋" w:eastAsia="仿宋" w:cs="仿宋"/>
          <w:sz w:val="28"/>
          <w:szCs w:val="28"/>
        </w:rPr>
        <w:t>他行为</w:t>
      </w:r>
      <w:r>
        <w:rPr>
          <w:rFonts w:hint="eastAsia" w:ascii="仿宋" w:hAnsi="仿宋" w:eastAsia="仿宋" w:cs="仿宋"/>
          <w:sz w:val="28"/>
          <w:szCs w:val="28"/>
        </w:rPr>
        <w:t>，交易</w:t>
      </w:r>
      <w:r>
        <w:rPr>
          <w:rFonts w:ascii="仿宋" w:hAnsi="仿宋" w:eastAsia="仿宋" w:cs="仿宋"/>
          <w:sz w:val="28"/>
          <w:szCs w:val="28"/>
        </w:rPr>
        <w:t>所</w:t>
      </w:r>
      <w:r>
        <w:rPr>
          <w:rFonts w:hint="eastAsia" w:ascii="仿宋" w:hAnsi="仿宋" w:eastAsia="仿宋" w:cs="仿宋"/>
          <w:sz w:val="28"/>
          <w:szCs w:val="28"/>
        </w:rPr>
        <w:t>有权按照《上海黄金交易所违规违约处理办法》相关规定进行处罚。</w:t>
      </w:r>
    </w:p>
    <w:p>
      <w:pPr>
        <w:numPr>
          <w:ilvl w:val="255"/>
          <w:numId w:val="0"/>
        </w:numPr>
        <w:pBdr>
          <w:top w:val="none" w:color="000000" w:sz="0" w:space="0"/>
          <w:left w:val="none" w:color="000000" w:sz="0" w:space="0"/>
          <w:bottom w:val="none" w:color="000000" w:sz="0" w:space="0"/>
          <w:right w:val="none" w:color="000000" w:sz="0" w:space="0"/>
        </w:pBdr>
        <w:autoSpaceDN w:val="0"/>
        <w:snapToGrid w:val="0"/>
        <w:spacing w:line="360" w:lineRule="auto"/>
        <w:rPr>
          <w:rFonts w:ascii="仿宋" w:hAnsi="仿宋" w:eastAsia="仿宋" w:cs="仿宋"/>
          <w:sz w:val="28"/>
          <w:szCs w:val="28"/>
        </w:rPr>
      </w:pPr>
    </w:p>
    <w:bookmarkEnd w:id="2"/>
    <w:p>
      <w:pPr>
        <w:pBdr>
          <w:top w:val="none" w:color="000000" w:sz="0" w:space="0"/>
          <w:left w:val="none" w:color="000000" w:sz="0" w:space="0"/>
          <w:bottom w:val="none" w:color="000000" w:sz="0" w:space="0"/>
          <w:right w:val="none" w:color="000000" w:sz="0" w:space="0"/>
        </w:pBdr>
        <w:autoSpaceDN w:val="0"/>
        <w:snapToGrid w:val="0"/>
        <w:spacing w:line="360" w:lineRule="auto"/>
        <w:jc w:val="center"/>
        <w:rPr>
          <w:rFonts w:ascii="仿宋" w:hAnsi="仿宋" w:eastAsia="仿宋" w:cs="仿宋"/>
          <w:bCs/>
          <w:sz w:val="28"/>
          <w:szCs w:val="28"/>
        </w:rPr>
      </w:pPr>
      <w:r>
        <w:rPr>
          <w:rFonts w:hint="eastAsia" w:ascii="黑体" w:hAnsi="黑体" w:eastAsia="黑体"/>
          <w:sz w:val="30"/>
          <w:szCs w:val="30"/>
        </w:rPr>
        <w:t>第七章 附  则</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本规则未及事项，按照交易所相关制度执行。</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本规则解释权与修改权属交易所。</w:t>
      </w:r>
    </w:p>
    <w:p>
      <w:pPr>
        <w:numPr>
          <w:ilvl w:val="0"/>
          <w:numId w:val="1"/>
        </w:numPr>
        <w:pBdr>
          <w:top w:val="none" w:color="000000" w:sz="0" w:space="0"/>
          <w:left w:val="none" w:color="000000" w:sz="0" w:space="0"/>
          <w:bottom w:val="none" w:color="000000" w:sz="0" w:space="0"/>
          <w:right w:val="none" w:color="000000" w:sz="0" w:space="0"/>
        </w:pBdr>
        <w:autoSpaceDN w:val="0"/>
        <w:snapToGrid w:val="0"/>
        <w:spacing w:line="360" w:lineRule="auto"/>
        <w:ind w:firstLine="566" w:firstLineChars="202"/>
        <w:rPr>
          <w:rFonts w:ascii="仿宋" w:hAnsi="仿宋" w:eastAsia="仿宋" w:cs="仿宋"/>
          <w:sz w:val="28"/>
          <w:szCs w:val="28"/>
        </w:rPr>
      </w:pPr>
      <w:r>
        <w:rPr>
          <w:rFonts w:hint="eastAsia" w:ascii="仿宋" w:hAnsi="仿宋" w:eastAsia="仿宋" w:cs="仿宋"/>
          <w:sz w:val="28"/>
          <w:szCs w:val="28"/>
        </w:rPr>
        <w:t>本规则自公布之日起实施。</w:t>
      </w:r>
    </w:p>
    <w:p>
      <w:pPr>
        <w:pBdr>
          <w:top w:val="none" w:color="000000" w:sz="0" w:space="0"/>
          <w:left w:val="none" w:color="000000" w:sz="0" w:space="0"/>
          <w:bottom w:val="none" w:color="000000" w:sz="0" w:space="0"/>
          <w:right w:val="none" w:color="000000" w:sz="0" w:space="0"/>
        </w:pBdr>
        <w:autoSpaceDN w:val="0"/>
        <w:snapToGrid w:val="0"/>
        <w:spacing w:line="360" w:lineRule="auto"/>
        <w:ind w:firstLine="269" w:firstLineChars="96"/>
        <w:jc w:val="left"/>
        <w:rPr>
          <w:rFonts w:ascii="宋体" w:hAnsi="宋体" w:cs="宋体"/>
          <w:sz w:val="28"/>
          <w:szCs w:val="28"/>
        </w:rPr>
      </w:pPr>
    </w:p>
    <w:p>
      <w:pPr>
        <w:pBdr>
          <w:top w:val="none" w:color="000000" w:sz="0" w:space="0"/>
          <w:left w:val="none" w:color="000000" w:sz="0" w:space="0"/>
          <w:bottom w:val="none" w:color="000000" w:sz="0" w:space="0"/>
          <w:right w:val="none" w:color="000000" w:sz="0" w:space="0"/>
        </w:pBdr>
        <w:autoSpaceDN w:val="0"/>
        <w:snapToGrid w:val="0"/>
        <w:spacing w:line="360" w:lineRule="auto"/>
        <w:ind w:firstLine="269" w:firstLineChars="96"/>
        <w:jc w:val="left"/>
        <w:rPr>
          <w:rFonts w:ascii="宋体" w:hAnsi="宋体" w:cs="宋体"/>
          <w:sz w:val="28"/>
          <w:szCs w:val="28"/>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tbl>
      <w:tblPr>
        <w:tblStyle w:val="9"/>
        <w:tblW w:w="10630" w:type="dxa"/>
        <w:jc w:val="center"/>
        <w:tblInd w:w="0" w:type="dxa"/>
        <w:tblLayout w:type="fixed"/>
        <w:tblCellMar>
          <w:top w:w="0" w:type="dxa"/>
          <w:left w:w="108" w:type="dxa"/>
          <w:bottom w:w="0" w:type="dxa"/>
          <w:right w:w="108" w:type="dxa"/>
        </w:tblCellMar>
      </w:tblPr>
      <w:tblGrid>
        <w:gridCol w:w="1476"/>
        <w:gridCol w:w="2357"/>
        <w:gridCol w:w="1216"/>
        <w:gridCol w:w="1741"/>
        <w:gridCol w:w="2452"/>
        <w:gridCol w:w="1388"/>
      </w:tblGrid>
      <w:tr>
        <w:tblPrEx>
          <w:tblLayout w:type="fixed"/>
          <w:tblCellMar>
            <w:top w:w="0" w:type="dxa"/>
            <w:left w:w="108" w:type="dxa"/>
            <w:bottom w:w="0" w:type="dxa"/>
            <w:right w:w="108" w:type="dxa"/>
          </w:tblCellMar>
        </w:tblPrEx>
        <w:trPr>
          <w:trHeight w:val="1169" w:hRule="atLeast"/>
          <w:jc w:val="center"/>
        </w:trPr>
        <w:tc>
          <w:tcPr>
            <w:tcW w:w="10630" w:type="dxa"/>
            <w:gridSpan w:val="6"/>
            <w:tcBorders>
              <w:top w:val="nil"/>
              <w:left w:val="nil"/>
              <w:bottom w:val="nil"/>
              <w:right w:val="nil"/>
            </w:tcBorders>
            <w:shd w:val="clear" w:color="auto" w:fill="auto"/>
            <w:vAlign w:val="center"/>
          </w:tcPr>
          <w:p>
            <w:pPr>
              <w:widowControl/>
              <w:jc w:val="left"/>
              <w:rPr>
                <w:rFonts w:ascii="仿宋" w:hAnsi="仿宋" w:eastAsia="仿宋" w:cs="宋体"/>
                <w:sz w:val="32"/>
                <w:szCs w:val="32"/>
              </w:rPr>
            </w:pPr>
            <w:r>
              <w:rPr>
                <w:rFonts w:hint="eastAsia" w:ascii="仿宋" w:hAnsi="仿宋" w:eastAsia="仿宋" w:cs="宋体"/>
                <w:sz w:val="32"/>
                <w:szCs w:val="32"/>
              </w:rPr>
              <w:t>附表１</w:t>
            </w:r>
          </w:p>
          <w:p>
            <w:pPr>
              <w:widowControl/>
              <w:jc w:val="center"/>
              <w:rPr>
                <w:rFonts w:ascii="黑体" w:hAnsi="黑体" w:eastAsia="黑体" w:cs="宋体"/>
                <w:kern w:val="0"/>
                <w:sz w:val="40"/>
                <w:szCs w:val="40"/>
              </w:rPr>
            </w:pPr>
            <w:r>
              <w:rPr>
                <w:rFonts w:hint="eastAsia" w:ascii="黑体" w:hAnsi="黑体" w:eastAsia="黑体" w:cs="宋体"/>
                <w:kern w:val="0"/>
                <w:sz w:val="40"/>
                <w:szCs w:val="40"/>
              </w:rPr>
              <w:t>上海黄金交易所上海金集中定价交易申请表</w:t>
            </w:r>
          </w:p>
        </w:tc>
      </w:tr>
      <w:tr>
        <w:tblPrEx>
          <w:tblLayout w:type="fixed"/>
          <w:tblCellMar>
            <w:top w:w="0" w:type="dxa"/>
            <w:left w:w="108" w:type="dxa"/>
            <w:bottom w:w="0" w:type="dxa"/>
            <w:right w:w="108" w:type="dxa"/>
          </w:tblCellMar>
        </w:tblPrEx>
        <w:trPr>
          <w:trHeight w:val="485"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会员信息</w:t>
            </w:r>
          </w:p>
        </w:tc>
      </w:tr>
      <w:tr>
        <w:tblPrEx>
          <w:tblLayout w:type="fixed"/>
          <w:tblCellMar>
            <w:top w:w="0" w:type="dxa"/>
            <w:left w:w="108" w:type="dxa"/>
            <w:bottom w:w="0" w:type="dxa"/>
            <w:right w:w="108" w:type="dxa"/>
          </w:tblCellMar>
        </w:tblPrEx>
        <w:trPr>
          <w:trHeight w:val="485"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会员名称</w:t>
            </w:r>
          </w:p>
        </w:tc>
        <w:tc>
          <w:tcPr>
            <w:tcW w:w="531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会员号</w:t>
            </w: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85"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联系人</w:t>
            </w:r>
          </w:p>
        </w:tc>
        <w:tc>
          <w:tcPr>
            <w:tcW w:w="531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85"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申请客户信息</w:t>
            </w:r>
          </w:p>
        </w:tc>
      </w:tr>
      <w:tr>
        <w:tblPrEx>
          <w:tblLayout w:type="fixed"/>
          <w:tblCellMar>
            <w:top w:w="0" w:type="dxa"/>
            <w:left w:w="108" w:type="dxa"/>
            <w:bottom w:w="0" w:type="dxa"/>
            <w:right w:w="108" w:type="dxa"/>
          </w:tblCellMar>
        </w:tblPrEx>
        <w:trPr>
          <w:trHeight w:val="551" w:hRule="atLeast"/>
          <w:jc w:val="center"/>
        </w:trPr>
        <w:tc>
          <w:tcPr>
            <w:tcW w:w="1063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自营客户         □ 全部代理客户</w:t>
            </w:r>
          </w:p>
        </w:tc>
      </w:tr>
      <w:tr>
        <w:tblPrEx>
          <w:tblLayout w:type="fixed"/>
          <w:tblCellMar>
            <w:top w:w="0" w:type="dxa"/>
            <w:left w:w="108" w:type="dxa"/>
            <w:bottom w:w="0" w:type="dxa"/>
            <w:right w:w="108" w:type="dxa"/>
          </w:tblCellMar>
        </w:tblPrEx>
        <w:trPr>
          <w:trHeight w:val="604"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客户名称</w:t>
            </w:r>
          </w:p>
        </w:tc>
        <w:tc>
          <w:tcPr>
            <w:tcW w:w="23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客户号</w:t>
            </w: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2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经营性质</w:t>
            </w: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85"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申请事项</w:t>
            </w:r>
          </w:p>
        </w:tc>
      </w:tr>
      <w:tr>
        <w:tblPrEx>
          <w:tblLayout w:type="fixed"/>
          <w:tblCellMar>
            <w:top w:w="0" w:type="dxa"/>
            <w:left w:w="108" w:type="dxa"/>
            <w:bottom w:w="0" w:type="dxa"/>
            <w:right w:w="108" w:type="dxa"/>
          </w:tblCellMar>
        </w:tblPrEx>
        <w:trPr>
          <w:trHeight w:val="827"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申请开通黄金定价交易业务    □是    □否</w:t>
            </w:r>
          </w:p>
        </w:tc>
      </w:tr>
      <w:tr>
        <w:tblPrEx>
          <w:tblLayout w:type="fixed"/>
          <w:tblCellMar>
            <w:top w:w="0" w:type="dxa"/>
            <w:left w:w="108" w:type="dxa"/>
            <w:bottom w:w="0" w:type="dxa"/>
            <w:right w:w="108" w:type="dxa"/>
          </w:tblCellMar>
        </w:tblPrEx>
        <w:trPr>
          <w:trHeight w:val="485"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承诺</w:t>
            </w:r>
          </w:p>
        </w:tc>
      </w:tr>
      <w:tr>
        <w:tblPrEx>
          <w:tblLayout w:type="fixed"/>
          <w:tblCellMar>
            <w:top w:w="0" w:type="dxa"/>
            <w:left w:w="108" w:type="dxa"/>
            <w:bottom w:w="0" w:type="dxa"/>
            <w:right w:w="108" w:type="dxa"/>
          </w:tblCellMar>
        </w:tblPrEx>
        <w:trPr>
          <w:trHeight w:val="1798"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ascii="宋体" w:hAnsi="宋体" w:cs="宋体"/>
                <w:kern w:val="0"/>
                <w:sz w:val="24"/>
                <w:szCs w:val="24"/>
              </w:rPr>
              <w:t>1.本表格填写内容真实准确。</w:t>
            </w:r>
            <w:r>
              <w:rPr>
                <w:rFonts w:hint="eastAsia" w:ascii="宋体" w:hAnsi="宋体" w:cs="宋体"/>
                <w:kern w:val="0"/>
                <w:sz w:val="24"/>
                <w:szCs w:val="24"/>
              </w:rPr>
              <w:br w:type="textWrapping"/>
            </w:r>
            <w:r>
              <w:rPr>
                <w:rFonts w:hint="eastAsia" w:ascii="宋体" w:hAnsi="宋体" w:cs="宋体"/>
                <w:kern w:val="0"/>
                <w:sz w:val="24"/>
                <w:szCs w:val="24"/>
              </w:rPr>
              <w:t>2.严格遵守交易所上海金集中定价的各项交易规则和业务规定。</w:t>
            </w:r>
            <w:r>
              <w:rPr>
                <w:rFonts w:hint="eastAsia" w:ascii="宋体" w:hAnsi="宋体" w:cs="宋体"/>
                <w:kern w:val="0"/>
                <w:sz w:val="24"/>
                <w:szCs w:val="24"/>
              </w:rPr>
              <w:br w:type="textWrapping"/>
            </w:r>
            <w:r>
              <w:rPr>
                <w:rFonts w:hint="eastAsia" w:ascii="宋体" w:hAnsi="宋体" w:cs="宋体"/>
                <w:kern w:val="0"/>
                <w:sz w:val="24"/>
                <w:szCs w:val="24"/>
              </w:rPr>
              <w:t>3.不影响或操纵市场价格，积极维护正常的市场交易秩序。</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kern w:val="0"/>
                <w:sz w:val="24"/>
                <w:szCs w:val="24"/>
              </w:rPr>
              <w:br w:type="textWrapping"/>
            </w:r>
            <w:r>
              <w:rPr>
                <w:rFonts w:hint="eastAsia" w:ascii="宋体" w:hAnsi="宋体" w:cs="宋体"/>
                <w:kern w:val="0"/>
                <w:sz w:val="24"/>
                <w:szCs w:val="24"/>
              </w:rPr>
              <w:t xml:space="preserve">                                                      签章：         日期：</w:t>
            </w:r>
          </w:p>
        </w:tc>
      </w:tr>
      <w:tr>
        <w:tblPrEx>
          <w:tblLayout w:type="fixed"/>
          <w:tblCellMar>
            <w:top w:w="0" w:type="dxa"/>
            <w:left w:w="108" w:type="dxa"/>
            <w:bottom w:w="0" w:type="dxa"/>
            <w:right w:w="108" w:type="dxa"/>
          </w:tblCellMar>
        </w:tblPrEx>
        <w:trPr>
          <w:trHeight w:val="485" w:hRule="atLeast"/>
          <w:jc w:val="center"/>
        </w:trPr>
        <w:tc>
          <w:tcPr>
            <w:tcW w:w="5049" w:type="dxa"/>
            <w:gridSpan w:val="3"/>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会员审核意见</w:t>
            </w:r>
          </w:p>
        </w:tc>
        <w:tc>
          <w:tcPr>
            <w:tcW w:w="5581" w:type="dxa"/>
            <w:gridSpan w:val="3"/>
            <w:tcBorders>
              <w:top w:val="single" w:color="auto" w:sz="4" w:space="0"/>
              <w:left w:val="nil"/>
              <w:bottom w:val="single" w:color="auto" w:sz="4" w:space="0"/>
              <w:right w:val="single" w:color="auto" w:sz="4" w:space="0"/>
            </w:tcBorders>
            <w:shd w:val="clear" w:color="000000" w:fill="F2F2F2"/>
            <w:vAlign w:val="center"/>
          </w:tcPr>
          <w:p>
            <w:pPr>
              <w:widowControl/>
              <w:jc w:val="center"/>
              <w:rPr>
                <w:rFonts w:ascii="宋体" w:hAnsi="宋体" w:cs="宋体"/>
                <w:bCs/>
                <w:kern w:val="0"/>
                <w:sz w:val="24"/>
                <w:szCs w:val="24"/>
              </w:rPr>
            </w:pPr>
            <w:r>
              <w:rPr>
                <w:rFonts w:hint="eastAsia" w:ascii="宋体" w:hAnsi="宋体" w:cs="宋体"/>
                <w:bCs/>
                <w:kern w:val="0"/>
                <w:sz w:val="24"/>
                <w:szCs w:val="24"/>
              </w:rPr>
              <w:t>交易所审核意见</w:t>
            </w:r>
          </w:p>
        </w:tc>
      </w:tr>
      <w:tr>
        <w:tblPrEx>
          <w:tblLayout w:type="fixed"/>
          <w:tblCellMar>
            <w:top w:w="0" w:type="dxa"/>
            <w:left w:w="108" w:type="dxa"/>
            <w:bottom w:w="0" w:type="dxa"/>
            <w:right w:w="108" w:type="dxa"/>
          </w:tblCellMar>
        </w:tblPrEx>
        <w:trPr>
          <w:trHeight w:val="1726" w:hRule="atLeast"/>
          <w:jc w:val="center"/>
        </w:trPr>
        <w:tc>
          <w:tcPr>
            <w:tcW w:w="5049" w:type="dxa"/>
            <w:gridSpan w:val="3"/>
            <w:tcBorders>
              <w:top w:val="single" w:color="auto" w:sz="4" w:space="0"/>
              <w:left w:val="single" w:color="auto" w:sz="4" w:space="0"/>
              <w:bottom w:val="single" w:color="auto" w:sz="4" w:space="0"/>
              <w:right w:val="single" w:color="000000" w:sz="4" w:space="0"/>
            </w:tcBorders>
            <w:shd w:val="clear" w:color="auto" w:fill="auto"/>
          </w:tcPr>
          <w:p>
            <w:pPr>
              <w:widowControl/>
              <w:jc w:val="left"/>
              <w:rPr>
                <w:rFonts w:ascii="宋体" w:hAnsi="宋体" w:cs="宋体"/>
                <w:kern w:val="0"/>
                <w:sz w:val="24"/>
                <w:szCs w:val="24"/>
              </w:rPr>
            </w:pPr>
            <w:r>
              <w:rPr>
                <w:rFonts w:hint="eastAsia" w:ascii="宋体" w:hAnsi="宋体" w:cs="宋体"/>
                <w:kern w:val="0"/>
                <w:sz w:val="24"/>
                <w:szCs w:val="24"/>
              </w:rPr>
              <w:t>初审意见：</w:t>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t xml:space="preserve">                      签章：</w:t>
            </w:r>
            <w:r>
              <w:rPr>
                <w:rFonts w:hint="eastAsia" w:ascii="宋体" w:hAnsi="宋体" w:cs="宋体"/>
                <w:kern w:val="0"/>
                <w:sz w:val="24"/>
                <w:szCs w:val="24"/>
              </w:rPr>
              <w:br w:type="textWrapping"/>
            </w:r>
            <w:r>
              <w:rPr>
                <w:rFonts w:hint="eastAsia" w:ascii="宋体" w:hAnsi="宋体" w:cs="宋体"/>
                <w:kern w:val="0"/>
                <w:sz w:val="24"/>
                <w:szCs w:val="24"/>
              </w:rPr>
              <w:t xml:space="preserve">                      日期：</w:t>
            </w:r>
          </w:p>
        </w:tc>
        <w:tc>
          <w:tcPr>
            <w:tcW w:w="5581"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4"/>
                <w:szCs w:val="24"/>
              </w:rPr>
            </w:pPr>
            <w:r>
              <w:rPr>
                <w:rFonts w:hint="eastAsia" w:ascii="宋体" w:hAnsi="宋体" w:cs="宋体"/>
                <w:kern w:val="0"/>
                <w:sz w:val="24"/>
                <w:szCs w:val="24"/>
              </w:rPr>
              <w:t>审批意见：</w:t>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br w:type="textWrapping"/>
            </w:r>
            <w:r>
              <w:rPr>
                <w:rFonts w:hint="eastAsia" w:ascii="宋体" w:hAnsi="宋体" w:cs="宋体"/>
                <w:kern w:val="0"/>
                <w:sz w:val="24"/>
                <w:szCs w:val="24"/>
              </w:rPr>
              <w:t xml:space="preserve">                        签章：</w:t>
            </w:r>
            <w:r>
              <w:rPr>
                <w:rFonts w:hint="eastAsia" w:ascii="宋体" w:hAnsi="宋体" w:cs="宋体"/>
                <w:kern w:val="0"/>
                <w:sz w:val="24"/>
                <w:szCs w:val="24"/>
              </w:rPr>
              <w:br w:type="textWrapping"/>
            </w:r>
            <w:r>
              <w:rPr>
                <w:rFonts w:hint="eastAsia" w:ascii="宋体" w:hAnsi="宋体" w:cs="宋体"/>
                <w:kern w:val="0"/>
                <w:sz w:val="24"/>
                <w:szCs w:val="24"/>
              </w:rPr>
              <w:t xml:space="preserve">                        日期：</w:t>
            </w:r>
          </w:p>
        </w:tc>
      </w:tr>
      <w:tr>
        <w:tblPrEx>
          <w:tblLayout w:type="fixed"/>
          <w:tblCellMar>
            <w:top w:w="0" w:type="dxa"/>
            <w:left w:w="108" w:type="dxa"/>
            <w:bottom w:w="0" w:type="dxa"/>
            <w:right w:w="108" w:type="dxa"/>
          </w:tblCellMar>
        </w:tblPrEx>
        <w:trPr>
          <w:trHeight w:val="2087" w:hRule="atLeast"/>
          <w:jc w:val="center"/>
        </w:trPr>
        <w:tc>
          <w:tcPr>
            <w:tcW w:w="1063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kern w:val="0"/>
                <w:sz w:val="24"/>
                <w:szCs w:val="24"/>
              </w:rPr>
            </w:pPr>
            <w:r>
              <w:rPr>
                <w:rFonts w:hint="eastAsia" w:ascii="宋体" w:hAnsi="宋体" w:cs="宋体"/>
                <w:kern w:val="0"/>
                <w:sz w:val="24"/>
                <w:szCs w:val="24"/>
              </w:rPr>
              <w:t>填写备注：</w:t>
            </w:r>
            <w:r>
              <w:rPr>
                <w:rFonts w:hint="eastAsia" w:ascii="宋体" w:hAnsi="宋体" w:cs="宋体"/>
                <w:kern w:val="0"/>
                <w:sz w:val="24"/>
                <w:szCs w:val="24"/>
              </w:rPr>
              <w:br w:type="textWrapping"/>
            </w:r>
            <w:r>
              <w:rPr>
                <w:rFonts w:hint="eastAsia" w:ascii="宋体" w:hAnsi="宋体" w:cs="宋体"/>
                <w:kern w:val="0"/>
                <w:sz w:val="24"/>
                <w:szCs w:val="24"/>
              </w:rPr>
              <w:t>1.本表由会员填写，若申请开通自营客户或全体代理客户交易的，直接勾选“□”，若为单独客户开通，则需详细填写客户信息，其中经营性质填写（产金、用金、精炼、金融、投资、贸易、其他）。</w:t>
            </w:r>
            <w:r>
              <w:rPr>
                <w:rFonts w:hint="eastAsia" w:ascii="宋体" w:hAnsi="宋体" w:cs="宋体"/>
                <w:kern w:val="0"/>
                <w:sz w:val="24"/>
                <w:szCs w:val="24"/>
              </w:rPr>
              <w:br w:type="textWrapping"/>
            </w:r>
            <w:r>
              <w:rPr>
                <w:rFonts w:hint="eastAsia" w:ascii="宋体" w:hAnsi="宋体" w:cs="宋体"/>
                <w:kern w:val="0"/>
                <w:sz w:val="24"/>
                <w:szCs w:val="24"/>
              </w:rPr>
              <w:t>2.承诺需由申请客户签章确认或会员代为签章确认。</w:t>
            </w:r>
            <w:r>
              <w:rPr>
                <w:rFonts w:hint="eastAsia" w:ascii="宋体" w:hAnsi="宋体" w:cs="宋体"/>
                <w:kern w:val="0"/>
                <w:sz w:val="24"/>
                <w:szCs w:val="24"/>
              </w:rPr>
              <w:br w:type="textWrapping"/>
            </w:r>
            <w:r>
              <w:rPr>
                <w:rFonts w:hint="eastAsia" w:ascii="宋体" w:hAnsi="宋体" w:cs="宋体"/>
                <w:kern w:val="0"/>
                <w:sz w:val="24"/>
                <w:szCs w:val="24"/>
              </w:rPr>
              <w:t>3.会员负责对客户业务能力进行初审，并负责对客户的交易行为和风险进行管理。</w:t>
            </w:r>
            <w:r>
              <w:rPr>
                <w:rFonts w:hint="eastAsia" w:ascii="宋体" w:hAnsi="宋体" w:cs="宋体"/>
                <w:kern w:val="0"/>
                <w:sz w:val="24"/>
                <w:szCs w:val="24"/>
              </w:rPr>
              <w:br w:type="textWrapping"/>
            </w:r>
            <w:r>
              <w:rPr>
                <w:rFonts w:hint="eastAsia" w:ascii="宋体" w:hAnsi="宋体" w:cs="宋体"/>
                <w:kern w:val="0"/>
                <w:sz w:val="24"/>
                <w:szCs w:val="24"/>
              </w:rPr>
              <w:t>4.申请表发送到传真号：021—33662160，并将原件寄到交易所交易部。国际会员向国际中心提交申请表，由国际中心转交交易部。</w:t>
            </w:r>
          </w:p>
        </w:tc>
      </w:tr>
    </w:tbl>
    <w:p>
      <w:pPr>
        <w:pBdr>
          <w:top w:val="none" w:color="000000" w:sz="0" w:space="0"/>
          <w:left w:val="none" w:color="000000" w:sz="0" w:space="0"/>
          <w:bottom w:val="none" w:color="000000" w:sz="0" w:space="0"/>
          <w:right w:val="none" w:color="000000" w:sz="0" w:space="0"/>
        </w:pBdr>
        <w:autoSpaceDN w:val="0"/>
        <w:snapToGrid w:val="0"/>
        <w:spacing w:line="360" w:lineRule="auto"/>
        <w:jc w:val="left"/>
        <w:rPr>
          <w:rFonts w:ascii="仿宋" w:hAnsi="仿宋" w:eastAsia="仿宋" w:cs="宋体"/>
          <w:sz w:val="32"/>
          <w:szCs w:val="32"/>
        </w:rPr>
      </w:pPr>
      <w:r>
        <w:rPr>
          <w:rFonts w:hint="eastAsia" w:ascii="仿宋" w:hAnsi="仿宋" w:eastAsia="仿宋" w:cs="宋体"/>
          <w:sz w:val="32"/>
          <w:szCs w:val="32"/>
        </w:rPr>
        <w:t>附表2</w:t>
      </w:r>
    </w:p>
    <w:p>
      <w:pPr>
        <w:widowControl/>
        <w:jc w:val="center"/>
        <w:rPr>
          <w:rFonts w:ascii="黑体" w:hAnsi="黑体" w:eastAsia="黑体" w:cs="宋体"/>
          <w:kern w:val="0"/>
          <w:sz w:val="40"/>
          <w:szCs w:val="40"/>
        </w:rPr>
      </w:pPr>
      <w:r>
        <w:rPr>
          <w:rFonts w:hint="eastAsia" w:ascii="黑体" w:hAnsi="黑体" w:eastAsia="黑体" w:cs="宋体"/>
          <w:kern w:val="0"/>
          <w:sz w:val="40"/>
          <w:szCs w:val="40"/>
        </w:rPr>
        <w:t>上海黄金交易所上海金集中定价合约参数表</w:t>
      </w:r>
    </w:p>
    <w:tbl>
      <w:tblPr>
        <w:tblStyle w:val="9"/>
        <w:tblW w:w="9223" w:type="dxa"/>
        <w:tblInd w:w="0" w:type="dxa"/>
        <w:tblLayout w:type="fixed"/>
        <w:tblCellMar>
          <w:top w:w="0" w:type="dxa"/>
          <w:left w:w="15" w:type="dxa"/>
          <w:bottom w:w="0" w:type="dxa"/>
          <w:right w:w="15" w:type="dxa"/>
        </w:tblCellMar>
      </w:tblPr>
      <w:tblGrid>
        <w:gridCol w:w="2567"/>
        <w:gridCol w:w="6656"/>
      </w:tblGrid>
      <w:tr>
        <w:tblPrEx>
          <w:tblLayout w:type="fixed"/>
          <w:tblCellMar>
            <w:top w:w="0" w:type="dxa"/>
            <w:left w:w="15" w:type="dxa"/>
            <w:bottom w:w="0" w:type="dxa"/>
            <w:right w:w="15" w:type="dxa"/>
          </w:tblCellMar>
        </w:tblPrEx>
        <w:trPr>
          <w:trHeight w:val="795" w:hRule="atLeast"/>
        </w:trPr>
        <w:tc>
          <w:tcPr>
            <w:tcW w:w="256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6656" w:type="dxa"/>
            <w:tcBorders>
              <w:top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项目内容或参数</w:t>
            </w:r>
          </w:p>
        </w:tc>
      </w:tr>
      <w:tr>
        <w:tblPrEx>
          <w:tblLayout w:type="fixed"/>
          <w:tblCellMar>
            <w:top w:w="0" w:type="dxa"/>
            <w:left w:w="15" w:type="dxa"/>
            <w:bottom w:w="0" w:type="dxa"/>
            <w:right w:w="15" w:type="dxa"/>
          </w:tblCellMar>
        </w:tblPrEx>
        <w:trPr>
          <w:trHeight w:val="567" w:hRule="atLeast"/>
        </w:trPr>
        <w:tc>
          <w:tcPr>
            <w:tcW w:w="256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交易品种</w:t>
            </w:r>
          </w:p>
        </w:tc>
        <w:tc>
          <w:tcPr>
            <w:tcW w:w="6656"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黄金</w:t>
            </w:r>
          </w:p>
        </w:tc>
      </w:tr>
      <w:tr>
        <w:tblPrEx>
          <w:tblLayout w:type="fixed"/>
          <w:tblCellMar>
            <w:top w:w="0" w:type="dxa"/>
            <w:left w:w="15" w:type="dxa"/>
            <w:bottom w:w="0" w:type="dxa"/>
            <w:right w:w="15" w:type="dxa"/>
          </w:tblCellMar>
        </w:tblPrEx>
        <w:trPr>
          <w:trHeight w:val="567" w:hRule="atLeast"/>
        </w:trPr>
        <w:tc>
          <w:tcPr>
            <w:tcW w:w="256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交易代码</w:t>
            </w:r>
          </w:p>
        </w:tc>
        <w:tc>
          <w:tcPr>
            <w:tcW w:w="6656" w:type="dxa"/>
            <w:tcBorders>
              <w:top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SHAU</w:t>
            </w:r>
          </w:p>
        </w:tc>
      </w:tr>
      <w:tr>
        <w:tblPrEx>
          <w:tblLayout w:type="fixed"/>
          <w:tblCellMar>
            <w:top w:w="0" w:type="dxa"/>
            <w:left w:w="15" w:type="dxa"/>
            <w:bottom w:w="0" w:type="dxa"/>
            <w:right w:w="15" w:type="dxa"/>
          </w:tblCellMar>
        </w:tblPrEx>
        <w:trPr>
          <w:trHeight w:val="567" w:hRule="atLeast"/>
        </w:trPr>
        <w:tc>
          <w:tcPr>
            <w:tcW w:w="256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报价单位</w:t>
            </w:r>
          </w:p>
        </w:tc>
        <w:tc>
          <w:tcPr>
            <w:tcW w:w="6656" w:type="dxa"/>
            <w:tcBorders>
              <w:top w:val="single" w:color="auto"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元</w:t>
            </w:r>
            <w:r>
              <w:rPr>
                <w:rFonts w:hint="eastAsia" w:ascii="宋体" w:hAnsi="宋体" w:cs="宋体"/>
                <w:kern w:val="0"/>
                <w:sz w:val="24"/>
                <w:szCs w:val="24"/>
              </w:rPr>
              <w:t>（</w:t>
            </w:r>
            <w:r>
              <w:rPr>
                <w:rFonts w:ascii="宋体" w:hAnsi="宋体" w:cs="宋体"/>
                <w:kern w:val="0"/>
                <w:sz w:val="24"/>
                <w:szCs w:val="24"/>
              </w:rPr>
              <w:t>人民币</w:t>
            </w:r>
            <w:r>
              <w:rPr>
                <w:rFonts w:hint="eastAsia" w:ascii="宋体" w:hAnsi="宋体" w:cs="宋体"/>
                <w:kern w:val="0"/>
                <w:sz w:val="24"/>
                <w:szCs w:val="24"/>
              </w:rPr>
              <w:t>）</w:t>
            </w:r>
            <w:r>
              <w:rPr>
                <w:rFonts w:ascii="宋体" w:hAnsi="宋体" w:cs="宋体"/>
                <w:kern w:val="0"/>
                <w:sz w:val="24"/>
                <w:szCs w:val="24"/>
              </w:rPr>
              <w:t>/克</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交易方式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集中定价交易</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交易单位</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千</w:t>
            </w:r>
            <w:r>
              <w:rPr>
                <w:rFonts w:ascii="宋体" w:hAnsi="宋体" w:cs="宋体"/>
                <w:kern w:val="0"/>
                <w:sz w:val="24"/>
                <w:szCs w:val="24"/>
              </w:rPr>
              <w:t>克/手</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最小变动价位</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0.0</w:t>
            </w:r>
            <w:r>
              <w:rPr>
                <w:rFonts w:hint="eastAsia" w:ascii="宋体" w:hAnsi="宋体" w:cs="宋体"/>
                <w:kern w:val="0"/>
                <w:sz w:val="24"/>
                <w:szCs w:val="24"/>
              </w:rPr>
              <w:t>1</w:t>
            </w:r>
            <w:r>
              <w:rPr>
                <w:rFonts w:ascii="宋体" w:hAnsi="宋体" w:cs="宋体"/>
                <w:kern w:val="0"/>
                <w:sz w:val="24"/>
                <w:szCs w:val="24"/>
              </w:rPr>
              <w:t>元/克</w:t>
            </w:r>
          </w:p>
        </w:tc>
      </w:tr>
      <w:tr>
        <w:tblPrEx>
          <w:tblLayout w:type="fixed"/>
          <w:tblCellMar>
            <w:top w:w="0" w:type="dxa"/>
            <w:left w:w="15" w:type="dxa"/>
            <w:bottom w:w="0" w:type="dxa"/>
            <w:right w:w="15" w:type="dxa"/>
          </w:tblCellMar>
        </w:tblPrEx>
        <w:trPr>
          <w:trHeight w:val="738"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每日价格最大波动限制</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无限制</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单边最小报价量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手</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单边最</w:t>
            </w:r>
            <w:r>
              <w:rPr>
                <w:rFonts w:hint="eastAsia" w:ascii="宋体" w:hAnsi="宋体" w:cs="宋体"/>
                <w:kern w:val="0"/>
                <w:sz w:val="24"/>
                <w:szCs w:val="24"/>
              </w:rPr>
              <w:t>大</w:t>
            </w:r>
            <w:r>
              <w:rPr>
                <w:rFonts w:ascii="宋体" w:hAnsi="宋体" w:cs="宋体"/>
                <w:kern w:val="0"/>
                <w:sz w:val="24"/>
                <w:szCs w:val="24"/>
              </w:rPr>
              <w:t>报价量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30000手</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成交方式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数量撮合</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成交阀值</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400千克</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最低交易保证金</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6</w:t>
            </w:r>
            <w:r>
              <w:rPr>
                <w:rFonts w:ascii="宋体" w:hAnsi="宋体" w:cs="宋体"/>
                <w:kern w:val="0"/>
                <w:sz w:val="24"/>
                <w:szCs w:val="24"/>
              </w:rPr>
              <w:t>%</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交易手续费</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rPr>
              <w:t>上市日至2016年6月30日免收交易手续费</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交易开始</w:t>
            </w:r>
            <w:r>
              <w:rPr>
                <w:rFonts w:ascii="宋体" w:hAnsi="宋体" w:cs="宋体"/>
                <w:kern w:val="0"/>
                <w:sz w:val="24"/>
                <w:szCs w:val="24"/>
              </w:rPr>
              <w:t>时间</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早盘定价 10</w:t>
            </w:r>
            <w:r>
              <w:rPr>
                <w:rFonts w:ascii="宋体" w:hAnsi="宋体" w:cs="宋体"/>
                <w:kern w:val="0"/>
                <w:sz w:val="24"/>
                <w:szCs w:val="24"/>
              </w:rPr>
              <w:t>:</w:t>
            </w:r>
            <w:r>
              <w:rPr>
                <w:rFonts w:hint="eastAsia" w:ascii="宋体" w:hAnsi="宋体" w:cs="宋体"/>
                <w:kern w:val="0"/>
                <w:sz w:val="24"/>
                <w:szCs w:val="24"/>
              </w:rPr>
              <w:t>15 ；午盘定价14</w:t>
            </w:r>
            <w:r>
              <w:rPr>
                <w:rFonts w:ascii="宋体" w:hAnsi="宋体" w:cs="宋体"/>
                <w:kern w:val="0"/>
                <w:sz w:val="24"/>
                <w:szCs w:val="24"/>
              </w:rPr>
              <w:t>:</w:t>
            </w:r>
            <w:r>
              <w:rPr>
                <w:rFonts w:hint="eastAsia" w:ascii="宋体" w:hAnsi="宋体" w:cs="宋体"/>
                <w:kern w:val="0"/>
                <w:sz w:val="24"/>
                <w:szCs w:val="24"/>
              </w:rPr>
              <w:t>15</w:t>
            </w:r>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提供参考价时间</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早盘10:09-10:14 ；午盘14:09-14:14</w:t>
            </w:r>
            <w:bookmarkStart w:id="3" w:name="_GoBack"/>
            <w:bookmarkEnd w:id="3"/>
          </w:p>
        </w:tc>
      </w:tr>
      <w:tr>
        <w:tblPrEx>
          <w:tblLayout w:type="fixed"/>
          <w:tblCellMar>
            <w:top w:w="0" w:type="dxa"/>
            <w:left w:w="15" w:type="dxa"/>
            <w:bottom w:w="0" w:type="dxa"/>
            <w:right w:w="15" w:type="dxa"/>
          </w:tblCellMar>
        </w:tblPrEx>
        <w:trPr>
          <w:trHeight w:val="567"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每轮申报时限</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首轮市场申报60秒 + 补充申报10秒 </w:t>
            </w:r>
          </w:p>
          <w:p>
            <w:pPr>
              <w:widowControl/>
              <w:jc w:val="center"/>
              <w:rPr>
                <w:rFonts w:ascii="宋体" w:hAnsi="宋体" w:cs="宋体"/>
                <w:kern w:val="0"/>
                <w:sz w:val="24"/>
                <w:szCs w:val="24"/>
              </w:rPr>
            </w:pPr>
            <w:r>
              <w:rPr>
                <w:rFonts w:hint="eastAsia" w:ascii="宋体" w:hAnsi="宋体" w:cs="宋体"/>
                <w:kern w:val="0"/>
                <w:sz w:val="24"/>
                <w:szCs w:val="24"/>
              </w:rPr>
              <w:t>自第二轮始，每轮市场申报30秒 + 补充申报10秒</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清算方式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钱货两讫</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交割方式</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实物交割</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交割时间</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Ｔ+２</w:t>
            </w:r>
          </w:p>
        </w:tc>
      </w:tr>
      <w:tr>
        <w:tblPrEx>
          <w:tblLayout w:type="fixed"/>
          <w:tblCellMar>
            <w:top w:w="0" w:type="dxa"/>
            <w:left w:w="15" w:type="dxa"/>
            <w:bottom w:w="0" w:type="dxa"/>
            <w:right w:w="15" w:type="dxa"/>
          </w:tblCellMar>
        </w:tblPrEx>
        <w:trPr>
          <w:trHeight w:val="894"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交割</w:t>
            </w:r>
            <w:r>
              <w:rPr>
                <w:rFonts w:hint="eastAsia" w:ascii="宋体" w:hAnsi="宋体" w:cs="宋体"/>
                <w:kern w:val="0"/>
                <w:sz w:val="24"/>
                <w:szCs w:val="24"/>
              </w:rPr>
              <w:t>品种</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交易所认可的标准重量1千克、成色不低于99.99％的金锭</w:t>
            </w:r>
          </w:p>
        </w:tc>
      </w:tr>
      <w:tr>
        <w:tblPrEx>
          <w:tblLayout w:type="fixed"/>
          <w:tblCellMar>
            <w:top w:w="0" w:type="dxa"/>
            <w:left w:w="15" w:type="dxa"/>
            <w:bottom w:w="0" w:type="dxa"/>
            <w:right w:w="15" w:type="dxa"/>
          </w:tblCellMar>
        </w:tblPrEx>
        <w:trPr>
          <w:trHeight w:val="795"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质量标准</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经交易所认定的可提供标准金锭、金条企业生产的符合交易所金锭SGEB1-2002质量标准的实物，及伦敦金银市场协会（LBMA）认定的合格供货商生产的标准实物。</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交割</w:t>
            </w:r>
            <w:r>
              <w:rPr>
                <w:rFonts w:hint="eastAsia" w:ascii="宋体" w:hAnsi="宋体" w:cs="宋体"/>
                <w:kern w:val="0"/>
                <w:sz w:val="24"/>
                <w:szCs w:val="24"/>
              </w:rPr>
              <w:t>仓库</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交易所指定交割仓库</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交割费</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5" w:type="dxa"/>
            <w:bottom w:w="0" w:type="dxa"/>
            <w:right w:w="15" w:type="dxa"/>
          </w:tblCellMar>
        </w:tblPrEx>
        <w:trPr>
          <w:trHeight w:val="680"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违约金比例</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等同于交易保证金</w:t>
            </w:r>
          </w:p>
        </w:tc>
      </w:tr>
      <w:tr>
        <w:tblPrEx>
          <w:tblLayout w:type="fixed"/>
          <w:tblCellMar>
            <w:top w:w="0" w:type="dxa"/>
            <w:left w:w="15" w:type="dxa"/>
            <w:bottom w:w="0" w:type="dxa"/>
            <w:right w:w="15" w:type="dxa"/>
          </w:tblCellMar>
        </w:tblPrEx>
        <w:trPr>
          <w:trHeight w:val="795" w:hRule="atLeast"/>
        </w:trPr>
        <w:tc>
          <w:tcPr>
            <w:tcW w:w="2567" w:type="dxa"/>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上市日期</w:t>
            </w:r>
          </w:p>
        </w:tc>
        <w:tc>
          <w:tcPr>
            <w:tcW w:w="6656" w:type="dxa"/>
            <w:tcBorders>
              <w:bottom w:val="single" w:color="000000" w:sz="4" w:space="0"/>
              <w:right w:val="single" w:color="000000" w:sz="4" w:space="0"/>
            </w:tcBorders>
            <w:vAlign w:val="center"/>
          </w:tcPr>
          <w:p>
            <w:pPr>
              <w:widowControl/>
              <w:jc w:val="center"/>
              <w:rPr>
                <w:rFonts w:ascii="宋体" w:hAnsi="宋体" w:cs="宋体"/>
                <w:kern w:val="0"/>
                <w:sz w:val="24"/>
                <w:szCs w:val="24"/>
              </w:rPr>
            </w:pPr>
            <w:r>
              <w:rPr>
                <w:rFonts w:ascii="宋体" w:hAnsi="宋体" w:cs="宋体"/>
                <w:kern w:val="0"/>
                <w:sz w:val="24"/>
                <w:szCs w:val="24"/>
              </w:rPr>
              <w:t>201</w:t>
            </w:r>
            <w:r>
              <w:rPr>
                <w:rFonts w:hint="eastAsia" w:ascii="宋体" w:hAnsi="宋体" w:cs="宋体"/>
                <w:kern w:val="0"/>
                <w:sz w:val="24"/>
                <w:szCs w:val="24"/>
              </w:rPr>
              <w:t>6</w:t>
            </w:r>
            <w:r>
              <w:rPr>
                <w:rFonts w:ascii="宋体" w:hAnsi="宋体" w:cs="宋体"/>
                <w:kern w:val="0"/>
                <w:sz w:val="24"/>
                <w:szCs w:val="24"/>
              </w:rPr>
              <w:t>年</w:t>
            </w:r>
            <w:r>
              <w:rPr>
                <w:rFonts w:hint="eastAsia" w:ascii="宋体" w:hAnsi="宋体" w:cs="宋体"/>
                <w:kern w:val="0"/>
                <w:sz w:val="24"/>
                <w:szCs w:val="24"/>
              </w:rPr>
              <w:t>4</w:t>
            </w:r>
            <w:r>
              <w:rPr>
                <w:rFonts w:ascii="宋体" w:hAnsi="宋体" w:cs="宋体"/>
                <w:kern w:val="0"/>
                <w:sz w:val="24"/>
                <w:szCs w:val="24"/>
              </w:rPr>
              <w:t>月</w:t>
            </w:r>
            <w:r>
              <w:rPr>
                <w:rFonts w:hint="eastAsia" w:ascii="宋体" w:hAnsi="宋体" w:cs="宋体"/>
                <w:kern w:val="0"/>
                <w:sz w:val="24"/>
                <w:szCs w:val="24"/>
              </w:rPr>
              <w:t>19日</w:t>
            </w:r>
          </w:p>
        </w:tc>
      </w:tr>
    </w:tbl>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985818"/>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7844702">
    <w:nsid w:val="53EA015E"/>
    <w:multiLevelType w:val="singleLevel"/>
    <w:tmpl w:val="53EA015E"/>
    <w:lvl w:ilvl="0" w:tentative="1">
      <w:start w:val="1"/>
      <w:numFmt w:val="chineseCounting"/>
      <w:suff w:val="space"/>
      <w:lvlText w:val="第%1条"/>
      <w:lvlJc w:val="left"/>
      <w:rPr>
        <w:rFonts w:ascii="仿宋" w:hAnsi="仿宋" w:eastAsia="仿宋"/>
        <w:sz w:val="28"/>
        <w:szCs w:val="28"/>
        <w:lang w:val="en-US"/>
      </w:rPr>
    </w:lvl>
  </w:abstractNum>
  <w:num w:numId="1">
    <w:abstractNumId w:val="14078447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E8"/>
    <w:rsid w:val="00000E14"/>
    <w:rsid w:val="0000175C"/>
    <w:rsid w:val="00004164"/>
    <w:rsid w:val="00007AC7"/>
    <w:rsid w:val="00014296"/>
    <w:rsid w:val="000202A8"/>
    <w:rsid w:val="0002197C"/>
    <w:rsid w:val="00021FF1"/>
    <w:rsid w:val="000279FF"/>
    <w:rsid w:val="00027C30"/>
    <w:rsid w:val="0003001C"/>
    <w:rsid w:val="00031002"/>
    <w:rsid w:val="00031773"/>
    <w:rsid w:val="00033261"/>
    <w:rsid w:val="0003369E"/>
    <w:rsid w:val="0003461E"/>
    <w:rsid w:val="00036789"/>
    <w:rsid w:val="000367E3"/>
    <w:rsid w:val="00040422"/>
    <w:rsid w:val="00043DB7"/>
    <w:rsid w:val="00046E70"/>
    <w:rsid w:val="0005035C"/>
    <w:rsid w:val="000525C3"/>
    <w:rsid w:val="000546C8"/>
    <w:rsid w:val="00057724"/>
    <w:rsid w:val="000578DC"/>
    <w:rsid w:val="00060156"/>
    <w:rsid w:val="0006231E"/>
    <w:rsid w:val="00062532"/>
    <w:rsid w:val="000655B0"/>
    <w:rsid w:val="00066E5C"/>
    <w:rsid w:val="00075D0D"/>
    <w:rsid w:val="00076548"/>
    <w:rsid w:val="000769F5"/>
    <w:rsid w:val="00080132"/>
    <w:rsid w:val="000835AF"/>
    <w:rsid w:val="00083C57"/>
    <w:rsid w:val="00085A4C"/>
    <w:rsid w:val="000865D8"/>
    <w:rsid w:val="000922EF"/>
    <w:rsid w:val="00093DE5"/>
    <w:rsid w:val="00095AC8"/>
    <w:rsid w:val="00096DA9"/>
    <w:rsid w:val="00097BE4"/>
    <w:rsid w:val="000B67DC"/>
    <w:rsid w:val="000B7AA9"/>
    <w:rsid w:val="000C0F60"/>
    <w:rsid w:val="000C2278"/>
    <w:rsid w:val="000C7BBD"/>
    <w:rsid w:val="000D3388"/>
    <w:rsid w:val="000D4495"/>
    <w:rsid w:val="000D6C16"/>
    <w:rsid w:val="000D7EAB"/>
    <w:rsid w:val="000E0F3B"/>
    <w:rsid w:val="000E202E"/>
    <w:rsid w:val="000E2E7D"/>
    <w:rsid w:val="000E378B"/>
    <w:rsid w:val="000E47D3"/>
    <w:rsid w:val="000E4E8D"/>
    <w:rsid w:val="000E5BA0"/>
    <w:rsid w:val="000E6DE1"/>
    <w:rsid w:val="000E751B"/>
    <w:rsid w:val="000F3035"/>
    <w:rsid w:val="000F306C"/>
    <w:rsid w:val="000F5D58"/>
    <w:rsid w:val="000F6DC8"/>
    <w:rsid w:val="00100065"/>
    <w:rsid w:val="001024F8"/>
    <w:rsid w:val="00106560"/>
    <w:rsid w:val="00106568"/>
    <w:rsid w:val="00115288"/>
    <w:rsid w:val="001157BD"/>
    <w:rsid w:val="001167D0"/>
    <w:rsid w:val="00116D3B"/>
    <w:rsid w:val="00117E28"/>
    <w:rsid w:val="00121A12"/>
    <w:rsid w:val="001220F5"/>
    <w:rsid w:val="00124FDD"/>
    <w:rsid w:val="001300DD"/>
    <w:rsid w:val="001303E2"/>
    <w:rsid w:val="001328C8"/>
    <w:rsid w:val="0014094D"/>
    <w:rsid w:val="001419B6"/>
    <w:rsid w:val="00144B67"/>
    <w:rsid w:val="0015033C"/>
    <w:rsid w:val="00150E13"/>
    <w:rsid w:val="0015219C"/>
    <w:rsid w:val="00152D15"/>
    <w:rsid w:val="00153068"/>
    <w:rsid w:val="001532A4"/>
    <w:rsid w:val="00157BC4"/>
    <w:rsid w:val="00163627"/>
    <w:rsid w:val="00172E6F"/>
    <w:rsid w:val="00173277"/>
    <w:rsid w:val="0017645F"/>
    <w:rsid w:val="001801CF"/>
    <w:rsid w:val="0018224C"/>
    <w:rsid w:val="00182E51"/>
    <w:rsid w:val="001870CB"/>
    <w:rsid w:val="0019293A"/>
    <w:rsid w:val="001931A4"/>
    <w:rsid w:val="00194B5C"/>
    <w:rsid w:val="001A1D8A"/>
    <w:rsid w:val="001A21D7"/>
    <w:rsid w:val="001A2FB6"/>
    <w:rsid w:val="001A69B0"/>
    <w:rsid w:val="001B011A"/>
    <w:rsid w:val="001B02D2"/>
    <w:rsid w:val="001B21B6"/>
    <w:rsid w:val="001C20CF"/>
    <w:rsid w:val="001C23A9"/>
    <w:rsid w:val="001C3732"/>
    <w:rsid w:val="001C53AB"/>
    <w:rsid w:val="001D04D5"/>
    <w:rsid w:val="001D07D7"/>
    <w:rsid w:val="001D1515"/>
    <w:rsid w:val="001E0B5A"/>
    <w:rsid w:val="001E25CE"/>
    <w:rsid w:val="001E59D9"/>
    <w:rsid w:val="001E760E"/>
    <w:rsid w:val="001E7DB7"/>
    <w:rsid w:val="001F18D8"/>
    <w:rsid w:val="001F565D"/>
    <w:rsid w:val="00204DD3"/>
    <w:rsid w:val="00204EBA"/>
    <w:rsid w:val="00207534"/>
    <w:rsid w:val="002155A5"/>
    <w:rsid w:val="002171EA"/>
    <w:rsid w:val="00217878"/>
    <w:rsid w:val="00220498"/>
    <w:rsid w:val="0022108C"/>
    <w:rsid w:val="00222AD5"/>
    <w:rsid w:val="002245C2"/>
    <w:rsid w:val="00225152"/>
    <w:rsid w:val="00225C60"/>
    <w:rsid w:val="00226774"/>
    <w:rsid w:val="00227999"/>
    <w:rsid w:val="00234B72"/>
    <w:rsid w:val="002365D0"/>
    <w:rsid w:val="00236649"/>
    <w:rsid w:val="002452E8"/>
    <w:rsid w:val="00245DF2"/>
    <w:rsid w:val="00246A1F"/>
    <w:rsid w:val="0025131D"/>
    <w:rsid w:val="002547EC"/>
    <w:rsid w:val="002606B4"/>
    <w:rsid w:val="00264095"/>
    <w:rsid w:val="0026653A"/>
    <w:rsid w:val="00271B37"/>
    <w:rsid w:val="00276DE6"/>
    <w:rsid w:val="0028481E"/>
    <w:rsid w:val="002853EA"/>
    <w:rsid w:val="00285BA8"/>
    <w:rsid w:val="002879C9"/>
    <w:rsid w:val="002938C0"/>
    <w:rsid w:val="00294C35"/>
    <w:rsid w:val="002A03BF"/>
    <w:rsid w:val="002A0911"/>
    <w:rsid w:val="002A0F6D"/>
    <w:rsid w:val="002A289B"/>
    <w:rsid w:val="002A4281"/>
    <w:rsid w:val="002A5BC5"/>
    <w:rsid w:val="002B0E44"/>
    <w:rsid w:val="002B1733"/>
    <w:rsid w:val="002B45C4"/>
    <w:rsid w:val="002B794A"/>
    <w:rsid w:val="002C04D9"/>
    <w:rsid w:val="002C1C20"/>
    <w:rsid w:val="002C4074"/>
    <w:rsid w:val="002C5310"/>
    <w:rsid w:val="002C7240"/>
    <w:rsid w:val="002D0B5B"/>
    <w:rsid w:val="002D26A6"/>
    <w:rsid w:val="002D3ABD"/>
    <w:rsid w:val="002D47F7"/>
    <w:rsid w:val="002D72FE"/>
    <w:rsid w:val="002D790E"/>
    <w:rsid w:val="002D7E4F"/>
    <w:rsid w:val="002E131E"/>
    <w:rsid w:val="002E315F"/>
    <w:rsid w:val="002E44BC"/>
    <w:rsid w:val="002E4D57"/>
    <w:rsid w:val="002E5F71"/>
    <w:rsid w:val="002F16F1"/>
    <w:rsid w:val="003014E1"/>
    <w:rsid w:val="00303E54"/>
    <w:rsid w:val="00303F79"/>
    <w:rsid w:val="00305E20"/>
    <w:rsid w:val="00310C9B"/>
    <w:rsid w:val="00311C3E"/>
    <w:rsid w:val="0031212D"/>
    <w:rsid w:val="00312CB6"/>
    <w:rsid w:val="0031351A"/>
    <w:rsid w:val="00313584"/>
    <w:rsid w:val="00321685"/>
    <w:rsid w:val="003217C5"/>
    <w:rsid w:val="00324176"/>
    <w:rsid w:val="003277AF"/>
    <w:rsid w:val="0033024D"/>
    <w:rsid w:val="00331D3C"/>
    <w:rsid w:val="00335C8E"/>
    <w:rsid w:val="003429CB"/>
    <w:rsid w:val="0034724F"/>
    <w:rsid w:val="00356984"/>
    <w:rsid w:val="00356E9F"/>
    <w:rsid w:val="00364A7E"/>
    <w:rsid w:val="00365FE4"/>
    <w:rsid w:val="00367DD7"/>
    <w:rsid w:val="00371E07"/>
    <w:rsid w:val="00372047"/>
    <w:rsid w:val="00372E3E"/>
    <w:rsid w:val="003772AE"/>
    <w:rsid w:val="0037741F"/>
    <w:rsid w:val="00377D55"/>
    <w:rsid w:val="003811C2"/>
    <w:rsid w:val="00381DB5"/>
    <w:rsid w:val="00382299"/>
    <w:rsid w:val="00383F20"/>
    <w:rsid w:val="00385588"/>
    <w:rsid w:val="003909B7"/>
    <w:rsid w:val="0039252C"/>
    <w:rsid w:val="00392C45"/>
    <w:rsid w:val="00393A8A"/>
    <w:rsid w:val="00394465"/>
    <w:rsid w:val="003961FE"/>
    <w:rsid w:val="00396826"/>
    <w:rsid w:val="00396D3F"/>
    <w:rsid w:val="003A485C"/>
    <w:rsid w:val="003B1489"/>
    <w:rsid w:val="003B221B"/>
    <w:rsid w:val="003B5581"/>
    <w:rsid w:val="003C1328"/>
    <w:rsid w:val="003C1FE8"/>
    <w:rsid w:val="003C3D0F"/>
    <w:rsid w:val="003C7FF0"/>
    <w:rsid w:val="003D54D9"/>
    <w:rsid w:val="003D728F"/>
    <w:rsid w:val="003E0C3A"/>
    <w:rsid w:val="003E1E5B"/>
    <w:rsid w:val="003E389C"/>
    <w:rsid w:val="003E4B32"/>
    <w:rsid w:val="003E5566"/>
    <w:rsid w:val="003E5644"/>
    <w:rsid w:val="003E7D3E"/>
    <w:rsid w:val="003F0006"/>
    <w:rsid w:val="003F0083"/>
    <w:rsid w:val="003F1566"/>
    <w:rsid w:val="003F2827"/>
    <w:rsid w:val="003F5BB1"/>
    <w:rsid w:val="003F6BAC"/>
    <w:rsid w:val="0040108B"/>
    <w:rsid w:val="004021EE"/>
    <w:rsid w:val="00404583"/>
    <w:rsid w:val="00406692"/>
    <w:rsid w:val="0041035E"/>
    <w:rsid w:val="00411549"/>
    <w:rsid w:val="004117DB"/>
    <w:rsid w:val="004120A3"/>
    <w:rsid w:val="00420A7D"/>
    <w:rsid w:val="00425DFB"/>
    <w:rsid w:val="00427879"/>
    <w:rsid w:val="00427A1B"/>
    <w:rsid w:val="00430594"/>
    <w:rsid w:val="0043154F"/>
    <w:rsid w:val="00432FA2"/>
    <w:rsid w:val="0043726E"/>
    <w:rsid w:val="004374A7"/>
    <w:rsid w:val="004408AF"/>
    <w:rsid w:val="00442F96"/>
    <w:rsid w:val="0045071F"/>
    <w:rsid w:val="00460458"/>
    <w:rsid w:val="00460601"/>
    <w:rsid w:val="004638A3"/>
    <w:rsid w:val="00464555"/>
    <w:rsid w:val="004710C8"/>
    <w:rsid w:val="0047125B"/>
    <w:rsid w:val="0047309E"/>
    <w:rsid w:val="00473912"/>
    <w:rsid w:val="00482842"/>
    <w:rsid w:val="00483CAC"/>
    <w:rsid w:val="00484329"/>
    <w:rsid w:val="004912AF"/>
    <w:rsid w:val="00492CF8"/>
    <w:rsid w:val="00495086"/>
    <w:rsid w:val="00495E59"/>
    <w:rsid w:val="00496F34"/>
    <w:rsid w:val="004A0004"/>
    <w:rsid w:val="004A063E"/>
    <w:rsid w:val="004A28AD"/>
    <w:rsid w:val="004A3DA0"/>
    <w:rsid w:val="004A6F9F"/>
    <w:rsid w:val="004A7947"/>
    <w:rsid w:val="004B16AC"/>
    <w:rsid w:val="004B191D"/>
    <w:rsid w:val="004B3885"/>
    <w:rsid w:val="004B3934"/>
    <w:rsid w:val="004B46C4"/>
    <w:rsid w:val="004C1619"/>
    <w:rsid w:val="004C29B9"/>
    <w:rsid w:val="004C6B57"/>
    <w:rsid w:val="004D157F"/>
    <w:rsid w:val="004D1BEE"/>
    <w:rsid w:val="004D2E2B"/>
    <w:rsid w:val="004D72A3"/>
    <w:rsid w:val="004E064C"/>
    <w:rsid w:val="004E1D69"/>
    <w:rsid w:val="004E4FFE"/>
    <w:rsid w:val="004E5C0E"/>
    <w:rsid w:val="004F0294"/>
    <w:rsid w:val="004F0B80"/>
    <w:rsid w:val="004F6C98"/>
    <w:rsid w:val="004F7B6A"/>
    <w:rsid w:val="00500990"/>
    <w:rsid w:val="005017CC"/>
    <w:rsid w:val="0050270F"/>
    <w:rsid w:val="00503B0D"/>
    <w:rsid w:val="00504171"/>
    <w:rsid w:val="00505F0B"/>
    <w:rsid w:val="005114CB"/>
    <w:rsid w:val="00514DA3"/>
    <w:rsid w:val="00515222"/>
    <w:rsid w:val="00515EFF"/>
    <w:rsid w:val="005201F3"/>
    <w:rsid w:val="005203D2"/>
    <w:rsid w:val="00522397"/>
    <w:rsid w:val="005231E6"/>
    <w:rsid w:val="00523400"/>
    <w:rsid w:val="005250D3"/>
    <w:rsid w:val="0052566F"/>
    <w:rsid w:val="005256E7"/>
    <w:rsid w:val="005274CB"/>
    <w:rsid w:val="005279D8"/>
    <w:rsid w:val="0053019F"/>
    <w:rsid w:val="005350B2"/>
    <w:rsid w:val="005359D9"/>
    <w:rsid w:val="0053644C"/>
    <w:rsid w:val="00540F50"/>
    <w:rsid w:val="00542EFE"/>
    <w:rsid w:val="0054427B"/>
    <w:rsid w:val="005475B9"/>
    <w:rsid w:val="005506E3"/>
    <w:rsid w:val="00561EC3"/>
    <w:rsid w:val="00562307"/>
    <w:rsid w:val="00565A40"/>
    <w:rsid w:val="0056714C"/>
    <w:rsid w:val="00567256"/>
    <w:rsid w:val="0057074F"/>
    <w:rsid w:val="005729A8"/>
    <w:rsid w:val="005748B4"/>
    <w:rsid w:val="005826EE"/>
    <w:rsid w:val="00583033"/>
    <w:rsid w:val="00583631"/>
    <w:rsid w:val="00586407"/>
    <w:rsid w:val="0058644F"/>
    <w:rsid w:val="00586B4C"/>
    <w:rsid w:val="0058797D"/>
    <w:rsid w:val="005963B5"/>
    <w:rsid w:val="005A08BC"/>
    <w:rsid w:val="005A0E08"/>
    <w:rsid w:val="005A1F57"/>
    <w:rsid w:val="005A29C9"/>
    <w:rsid w:val="005B1558"/>
    <w:rsid w:val="005B34EF"/>
    <w:rsid w:val="005B493C"/>
    <w:rsid w:val="005B5021"/>
    <w:rsid w:val="005B70A6"/>
    <w:rsid w:val="005C040E"/>
    <w:rsid w:val="005D0016"/>
    <w:rsid w:val="005D282C"/>
    <w:rsid w:val="005E01EB"/>
    <w:rsid w:val="005E269C"/>
    <w:rsid w:val="005E382E"/>
    <w:rsid w:val="005E732D"/>
    <w:rsid w:val="005F04E6"/>
    <w:rsid w:val="00605619"/>
    <w:rsid w:val="00607F93"/>
    <w:rsid w:val="006100DA"/>
    <w:rsid w:val="006119ED"/>
    <w:rsid w:val="00611EFB"/>
    <w:rsid w:val="00615FC9"/>
    <w:rsid w:val="006221D3"/>
    <w:rsid w:val="006240C7"/>
    <w:rsid w:val="00624D64"/>
    <w:rsid w:val="006267A1"/>
    <w:rsid w:val="0062746B"/>
    <w:rsid w:val="00633A27"/>
    <w:rsid w:val="00636F40"/>
    <w:rsid w:val="00641B30"/>
    <w:rsid w:val="00641BDE"/>
    <w:rsid w:val="0064312E"/>
    <w:rsid w:val="006523FF"/>
    <w:rsid w:val="00653591"/>
    <w:rsid w:val="00655A94"/>
    <w:rsid w:val="00655D2E"/>
    <w:rsid w:val="00656AEE"/>
    <w:rsid w:val="006572A2"/>
    <w:rsid w:val="006608D1"/>
    <w:rsid w:val="006632B2"/>
    <w:rsid w:val="006667E8"/>
    <w:rsid w:val="00667B0C"/>
    <w:rsid w:val="0067120A"/>
    <w:rsid w:val="0067634C"/>
    <w:rsid w:val="006837EF"/>
    <w:rsid w:val="006840AE"/>
    <w:rsid w:val="00685856"/>
    <w:rsid w:val="0068607E"/>
    <w:rsid w:val="006861A3"/>
    <w:rsid w:val="00687635"/>
    <w:rsid w:val="00694EE6"/>
    <w:rsid w:val="00696495"/>
    <w:rsid w:val="006975F2"/>
    <w:rsid w:val="006A2350"/>
    <w:rsid w:val="006A3C08"/>
    <w:rsid w:val="006A4709"/>
    <w:rsid w:val="006A48F7"/>
    <w:rsid w:val="006B0699"/>
    <w:rsid w:val="006B37B4"/>
    <w:rsid w:val="006C09D3"/>
    <w:rsid w:val="006C1059"/>
    <w:rsid w:val="006C27FA"/>
    <w:rsid w:val="006C3822"/>
    <w:rsid w:val="006D34C0"/>
    <w:rsid w:val="006D64BE"/>
    <w:rsid w:val="006D7C5D"/>
    <w:rsid w:val="006E080C"/>
    <w:rsid w:val="006E0BCA"/>
    <w:rsid w:val="006E4678"/>
    <w:rsid w:val="006E56BF"/>
    <w:rsid w:val="006F7626"/>
    <w:rsid w:val="007022B5"/>
    <w:rsid w:val="00705995"/>
    <w:rsid w:val="00705E8A"/>
    <w:rsid w:val="00706065"/>
    <w:rsid w:val="007073BE"/>
    <w:rsid w:val="00711B8E"/>
    <w:rsid w:val="00714DA1"/>
    <w:rsid w:val="0071607A"/>
    <w:rsid w:val="007160B2"/>
    <w:rsid w:val="00720DA0"/>
    <w:rsid w:val="00722CC3"/>
    <w:rsid w:val="0072338A"/>
    <w:rsid w:val="00725BBF"/>
    <w:rsid w:val="00727D64"/>
    <w:rsid w:val="00730082"/>
    <w:rsid w:val="00730692"/>
    <w:rsid w:val="00731C87"/>
    <w:rsid w:val="00735053"/>
    <w:rsid w:val="007367CF"/>
    <w:rsid w:val="00736A0E"/>
    <w:rsid w:val="007377FE"/>
    <w:rsid w:val="007378FB"/>
    <w:rsid w:val="00740631"/>
    <w:rsid w:val="00740A64"/>
    <w:rsid w:val="00740D1B"/>
    <w:rsid w:val="007416DE"/>
    <w:rsid w:val="00741DB7"/>
    <w:rsid w:val="00741FF3"/>
    <w:rsid w:val="0074704F"/>
    <w:rsid w:val="007471D4"/>
    <w:rsid w:val="007513D9"/>
    <w:rsid w:val="007520D1"/>
    <w:rsid w:val="00756C74"/>
    <w:rsid w:val="00756D46"/>
    <w:rsid w:val="00760002"/>
    <w:rsid w:val="00762445"/>
    <w:rsid w:val="00764DED"/>
    <w:rsid w:val="00773A60"/>
    <w:rsid w:val="0077486E"/>
    <w:rsid w:val="007755CF"/>
    <w:rsid w:val="00775750"/>
    <w:rsid w:val="00776173"/>
    <w:rsid w:val="00776B0D"/>
    <w:rsid w:val="00782E62"/>
    <w:rsid w:val="00786095"/>
    <w:rsid w:val="007869FB"/>
    <w:rsid w:val="0078754B"/>
    <w:rsid w:val="007908AB"/>
    <w:rsid w:val="00792256"/>
    <w:rsid w:val="007A0615"/>
    <w:rsid w:val="007A198E"/>
    <w:rsid w:val="007A4377"/>
    <w:rsid w:val="007A6207"/>
    <w:rsid w:val="007A687E"/>
    <w:rsid w:val="007A7091"/>
    <w:rsid w:val="007B13C1"/>
    <w:rsid w:val="007B3CCD"/>
    <w:rsid w:val="007B457A"/>
    <w:rsid w:val="007B6116"/>
    <w:rsid w:val="007B675C"/>
    <w:rsid w:val="007C1A3C"/>
    <w:rsid w:val="007C1D97"/>
    <w:rsid w:val="007C26A8"/>
    <w:rsid w:val="007C32E7"/>
    <w:rsid w:val="007C4C76"/>
    <w:rsid w:val="007C5715"/>
    <w:rsid w:val="007D088A"/>
    <w:rsid w:val="007D0D48"/>
    <w:rsid w:val="007D33DF"/>
    <w:rsid w:val="007D4B78"/>
    <w:rsid w:val="007D730E"/>
    <w:rsid w:val="007E1B5C"/>
    <w:rsid w:val="007E254F"/>
    <w:rsid w:val="007E566F"/>
    <w:rsid w:val="007E56F0"/>
    <w:rsid w:val="007E5D47"/>
    <w:rsid w:val="007F0AA9"/>
    <w:rsid w:val="007F4705"/>
    <w:rsid w:val="007F4A5D"/>
    <w:rsid w:val="008001F2"/>
    <w:rsid w:val="0080422D"/>
    <w:rsid w:val="00811117"/>
    <w:rsid w:val="00812AF2"/>
    <w:rsid w:val="00814187"/>
    <w:rsid w:val="00814459"/>
    <w:rsid w:val="00815614"/>
    <w:rsid w:val="008218C6"/>
    <w:rsid w:val="00821A37"/>
    <w:rsid w:val="00823FF6"/>
    <w:rsid w:val="008265DB"/>
    <w:rsid w:val="00831B49"/>
    <w:rsid w:val="00832B46"/>
    <w:rsid w:val="0083346E"/>
    <w:rsid w:val="00835950"/>
    <w:rsid w:val="00837D0F"/>
    <w:rsid w:val="00837D92"/>
    <w:rsid w:val="00845D7D"/>
    <w:rsid w:val="008623E7"/>
    <w:rsid w:val="0087313D"/>
    <w:rsid w:val="00881C0B"/>
    <w:rsid w:val="00883226"/>
    <w:rsid w:val="00885D8C"/>
    <w:rsid w:val="008865AE"/>
    <w:rsid w:val="00886ACA"/>
    <w:rsid w:val="00886AE0"/>
    <w:rsid w:val="00887D3C"/>
    <w:rsid w:val="008907AE"/>
    <w:rsid w:val="00890AE0"/>
    <w:rsid w:val="00893A1D"/>
    <w:rsid w:val="00893E1B"/>
    <w:rsid w:val="00896A78"/>
    <w:rsid w:val="008A6795"/>
    <w:rsid w:val="008A719A"/>
    <w:rsid w:val="008C0187"/>
    <w:rsid w:val="008C2355"/>
    <w:rsid w:val="008C3469"/>
    <w:rsid w:val="008C53C4"/>
    <w:rsid w:val="008C5CBF"/>
    <w:rsid w:val="008C604A"/>
    <w:rsid w:val="008D28CE"/>
    <w:rsid w:val="008D39E4"/>
    <w:rsid w:val="008E4137"/>
    <w:rsid w:val="008E7F55"/>
    <w:rsid w:val="008F05C6"/>
    <w:rsid w:val="008F1F2F"/>
    <w:rsid w:val="008F6133"/>
    <w:rsid w:val="008F6B5B"/>
    <w:rsid w:val="0090003D"/>
    <w:rsid w:val="00901D41"/>
    <w:rsid w:val="009028F7"/>
    <w:rsid w:val="009033BF"/>
    <w:rsid w:val="00904CEF"/>
    <w:rsid w:val="00912969"/>
    <w:rsid w:val="009138FA"/>
    <w:rsid w:val="009149A2"/>
    <w:rsid w:val="0091639B"/>
    <w:rsid w:val="00921027"/>
    <w:rsid w:val="00921094"/>
    <w:rsid w:val="009216B7"/>
    <w:rsid w:val="00923B81"/>
    <w:rsid w:val="00924D8B"/>
    <w:rsid w:val="00925017"/>
    <w:rsid w:val="00925988"/>
    <w:rsid w:val="00925E74"/>
    <w:rsid w:val="009263C3"/>
    <w:rsid w:val="00926512"/>
    <w:rsid w:val="00926A70"/>
    <w:rsid w:val="00932C4D"/>
    <w:rsid w:val="00934C5D"/>
    <w:rsid w:val="0093632A"/>
    <w:rsid w:val="00937A06"/>
    <w:rsid w:val="00941F99"/>
    <w:rsid w:val="009433AA"/>
    <w:rsid w:val="00944273"/>
    <w:rsid w:val="00945DF2"/>
    <w:rsid w:val="00946861"/>
    <w:rsid w:val="009534B6"/>
    <w:rsid w:val="00953CDF"/>
    <w:rsid w:val="00957463"/>
    <w:rsid w:val="00961A17"/>
    <w:rsid w:val="00965683"/>
    <w:rsid w:val="00965BE8"/>
    <w:rsid w:val="00965E74"/>
    <w:rsid w:val="0096746C"/>
    <w:rsid w:val="00972FB6"/>
    <w:rsid w:val="00976702"/>
    <w:rsid w:val="009808C6"/>
    <w:rsid w:val="009842EA"/>
    <w:rsid w:val="00986273"/>
    <w:rsid w:val="00986913"/>
    <w:rsid w:val="009877FA"/>
    <w:rsid w:val="00987FF2"/>
    <w:rsid w:val="009904FC"/>
    <w:rsid w:val="00990BD9"/>
    <w:rsid w:val="009917F1"/>
    <w:rsid w:val="0099283C"/>
    <w:rsid w:val="00995425"/>
    <w:rsid w:val="009964CF"/>
    <w:rsid w:val="0099782A"/>
    <w:rsid w:val="009A1B0F"/>
    <w:rsid w:val="009A41C5"/>
    <w:rsid w:val="009A4BCB"/>
    <w:rsid w:val="009A647A"/>
    <w:rsid w:val="009B0425"/>
    <w:rsid w:val="009B1CB1"/>
    <w:rsid w:val="009B3070"/>
    <w:rsid w:val="009B5610"/>
    <w:rsid w:val="009B5F1F"/>
    <w:rsid w:val="009B6507"/>
    <w:rsid w:val="009C200D"/>
    <w:rsid w:val="009C2117"/>
    <w:rsid w:val="009C28E8"/>
    <w:rsid w:val="009C43F7"/>
    <w:rsid w:val="009D041D"/>
    <w:rsid w:val="009D1765"/>
    <w:rsid w:val="009D475F"/>
    <w:rsid w:val="009D4F04"/>
    <w:rsid w:val="009E02DE"/>
    <w:rsid w:val="009E0BBB"/>
    <w:rsid w:val="009E1F3F"/>
    <w:rsid w:val="009E1FC1"/>
    <w:rsid w:val="009F02CB"/>
    <w:rsid w:val="009F59B7"/>
    <w:rsid w:val="009F6F5A"/>
    <w:rsid w:val="009F7089"/>
    <w:rsid w:val="009F71CB"/>
    <w:rsid w:val="009F720F"/>
    <w:rsid w:val="009F7501"/>
    <w:rsid w:val="00A0022B"/>
    <w:rsid w:val="00A03B4C"/>
    <w:rsid w:val="00A04691"/>
    <w:rsid w:val="00A05704"/>
    <w:rsid w:val="00A0621D"/>
    <w:rsid w:val="00A11C24"/>
    <w:rsid w:val="00A17910"/>
    <w:rsid w:val="00A20F8B"/>
    <w:rsid w:val="00A24BFD"/>
    <w:rsid w:val="00A26E24"/>
    <w:rsid w:val="00A30545"/>
    <w:rsid w:val="00A34A9A"/>
    <w:rsid w:val="00A53881"/>
    <w:rsid w:val="00A546A5"/>
    <w:rsid w:val="00A565AD"/>
    <w:rsid w:val="00A57634"/>
    <w:rsid w:val="00A62192"/>
    <w:rsid w:val="00A62861"/>
    <w:rsid w:val="00A63787"/>
    <w:rsid w:val="00A64F7A"/>
    <w:rsid w:val="00A671FF"/>
    <w:rsid w:val="00A714AB"/>
    <w:rsid w:val="00A71834"/>
    <w:rsid w:val="00A748C4"/>
    <w:rsid w:val="00A77C36"/>
    <w:rsid w:val="00A77EFB"/>
    <w:rsid w:val="00A80442"/>
    <w:rsid w:val="00A82169"/>
    <w:rsid w:val="00A82987"/>
    <w:rsid w:val="00A87205"/>
    <w:rsid w:val="00A903B1"/>
    <w:rsid w:val="00A9182C"/>
    <w:rsid w:val="00A9282E"/>
    <w:rsid w:val="00A9378B"/>
    <w:rsid w:val="00A941CD"/>
    <w:rsid w:val="00AA2BAC"/>
    <w:rsid w:val="00AA3A7C"/>
    <w:rsid w:val="00AA6281"/>
    <w:rsid w:val="00AA7275"/>
    <w:rsid w:val="00AA76F8"/>
    <w:rsid w:val="00AB0010"/>
    <w:rsid w:val="00AB11B7"/>
    <w:rsid w:val="00AB213E"/>
    <w:rsid w:val="00AB40F6"/>
    <w:rsid w:val="00AB4996"/>
    <w:rsid w:val="00AC1904"/>
    <w:rsid w:val="00AC2142"/>
    <w:rsid w:val="00AC42C1"/>
    <w:rsid w:val="00AC5F2E"/>
    <w:rsid w:val="00AC71DD"/>
    <w:rsid w:val="00AD09AA"/>
    <w:rsid w:val="00AD581E"/>
    <w:rsid w:val="00AF7144"/>
    <w:rsid w:val="00AF7CCE"/>
    <w:rsid w:val="00B02AA3"/>
    <w:rsid w:val="00B0476A"/>
    <w:rsid w:val="00B11EA6"/>
    <w:rsid w:val="00B14C1D"/>
    <w:rsid w:val="00B15FC0"/>
    <w:rsid w:val="00B17CEB"/>
    <w:rsid w:val="00B22FA8"/>
    <w:rsid w:val="00B22FEE"/>
    <w:rsid w:val="00B261AA"/>
    <w:rsid w:val="00B26A32"/>
    <w:rsid w:val="00B35B2A"/>
    <w:rsid w:val="00B36CB6"/>
    <w:rsid w:val="00B37264"/>
    <w:rsid w:val="00B402A0"/>
    <w:rsid w:val="00B40B66"/>
    <w:rsid w:val="00B41D57"/>
    <w:rsid w:val="00B45AF7"/>
    <w:rsid w:val="00B45B4E"/>
    <w:rsid w:val="00B47043"/>
    <w:rsid w:val="00B47391"/>
    <w:rsid w:val="00B52022"/>
    <w:rsid w:val="00B53577"/>
    <w:rsid w:val="00B537B4"/>
    <w:rsid w:val="00B538B4"/>
    <w:rsid w:val="00B53CA2"/>
    <w:rsid w:val="00B56415"/>
    <w:rsid w:val="00B62B12"/>
    <w:rsid w:val="00B65E37"/>
    <w:rsid w:val="00B716D1"/>
    <w:rsid w:val="00B754F8"/>
    <w:rsid w:val="00B75E2B"/>
    <w:rsid w:val="00B768C1"/>
    <w:rsid w:val="00B823EA"/>
    <w:rsid w:val="00B8304A"/>
    <w:rsid w:val="00B863DE"/>
    <w:rsid w:val="00B866AA"/>
    <w:rsid w:val="00B87F51"/>
    <w:rsid w:val="00B9062B"/>
    <w:rsid w:val="00B90CA0"/>
    <w:rsid w:val="00B914A7"/>
    <w:rsid w:val="00B9623F"/>
    <w:rsid w:val="00BA1D93"/>
    <w:rsid w:val="00BB1EF6"/>
    <w:rsid w:val="00BB264C"/>
    <w:rsid w:val="00BB5077"/>
    <w:rsid w:val="00BB6909"/>
    <w:rsid w:val="00BC1F03"/>
    <w:rsid w:val="00BC798B"/>
    <w:rsid w:val="00BD24BD"/>
    <w:rsid w:val="00BD38D8"/>
    <w:rsid w:val="00BD3A7A"/>
    <w:rsid w:val="00BD47EE"/>
    <w:rsid w:val="00BD51BF"/>
    <w:rsid w:val="00BD6DC0"/>
    <w:rsid w:val="00BE01AD"/>
    <w:rsid w:val="00BE1E7D"/>
    <w:rsid w:val="00BE2CF1"/>
    <w:rsid w:val="00BE3CFE"/>
    <w:rsid w:val="00BE5875"/>
    <w:rsid w:val="00BF1073"/>
    <w:rsid w:val="00BF16FC"/>
    <w:rsid w:val="00C00263"/>
    <w:rsid w:val="00C00336"/>
    <w:rsid w:val="00C0088E"/>
    <w:rsid w:val="00C02B77"/>
    <w:rsid w:val="00C128A0"/>
    <w:rsid w:val="00C13CB6"/>
    <w:rsid w:val="00C15E47"/>
    <w:rsid w:val="00C16CF7"/>
    <w:rsid w:val="00C20A75"/>
    <w:rsid w:val="00C2134F"/>
    <w:rsid w:val="00C2199A"/>
    <w:rsid w:val="00C21C94"/>
    <w:rsid w:val="00C25479"/>
    <w:rsid w:val="00C2602D"/>
    <w:rsid w:val="00C31163"/>
    <w:rsid w:val="00C321BB"/>
    <w:rsid w:val="00C348E2"/>
    <w:rsid w:val="00C36750"/>
    <w:rsid w:val="00C379AE"/>
    <w:rsid w:val="00C410A7"/>
    <w:rsid w:val="00C411D6"/>
    <w:rsid w:val="00C4178F"/>
    <w:rsid w:val="00C42C9F"/>
    <w:rsid w:val="00C44825"/>
    <w:rsid w:val="00C44E19"/>
    <w:rsid w:val="00C5347A"/>
    <w:rsid w:val="00C547C3"/>
    <w:rsid w:val="00C548A0"/>
    <w:rsid w:val="00C5540F"/>
    <w:rsid w:val="00C5701C"/>
    <w:rsid w:val="00C63634"/>
    <w:rsid w:val="00C65436"/>
    <w:rsid w:val="00C66528"/>
    <w:rsid w:val="00C745BB"/>
    <w:rsid w:val="00C80AB7"/>
    <w:rsid w:val="00C8104C"/>
    <w:rsid w:val="00C911AD"/>
    <w:rsid w:val="00C9224A"/>
    <w:rsid w:val="00C93441"/>
    <w:rsid w:val="00C934BB"/>
    <w:rsid w:val="00C94278"/>
    <w:rsid w:val="00C94333"/>
    <w:rsid w:val="00C944DC"/>
    <w:rsid w:val="00CA0E26"/>
    <w:rsid w:val="00CA31F3"/>
    <w:rsid w:val="00CA406B"/>
    <w:rsid w:val="00CA6C94"/>
    <w:rsid w:val="00CB30C6"/>
    <w:rsid w:val="00CB3D5C"/>
    <w:rsid w:val="00CB4B0D"/>
    <w:rsid w:val="00CB60AA"/>
    <w:rsid w:val="00CC3EB9"/>
    <w:rsid w:val="00CC6442"/>
    <w:rsid w:val="00CD1BF1"/>
    <w:rsid w:val="00CD7F69"/>
    <w:rsid w:val="00CE0084"/>
    <w:rsid w:val="00CE079B"/>
    <w:rsid w:val="00CE097A"/>
    <w:rsid w:val="00CE13F8"/>
    <w:rsid w:val="00CE1C9D"/>
    <w:rsid w:val="00CE2245"/>
    <w:rsid w:val="00CE544D"/>
    <w:rsid w:val="00CF23A8"/>
    <w:rsid w:val="00CF3477"/>
    <w:rsid w:val="00CF64CA"/>
    <w:rsid w:val="00D016B6"/>
    <w:rsid w:val="00D0225A"/>
    <w:rsid w:val="00D0261B"/>
    <w:rsid w:val="00D17DD3"/>
    <w:rsid w:val="00D2064B"/>
    <w:rsid w:val="00D22A78"/>
    <w:rsid w:val="00D27D47"/>
    <w:rsid w:val="00D310B4"/>
    <w:rsid w:val="00D3145E"/>
    <w:rsid w:val="00D32FE0"/>
    <w:rsid w:val="00D33340"/>
    <w:rsid w:val="00D33402"/>
    <w:rsid w:val="00D3344D"/>
    <w:rsid w:val="00D406DC"/>
    <w:rsid w:val="00D41004"/>
    <w:rsid w:val="00D43586"/>
    <w:rsid w:val="00D44EF9"/>
    <w:rsid w:val="00D457E5"/>
    <w:rsid w:val="00D5170F"/>
    <w:rsid w:val="00D53ED8"/>
    <w:rsid w:val="00D542C8"/>
    <w:rsid w:val="00D54B6B"/>
    <w:rsid w:val="00D55ED2"/>
    <w:rsid w:val="00D6203B"/>
    <w:rsid w:val="00D6239C"/>
    <w:rsid w:val="00D63F90"/>
    <w:rsid w:val="00D70ECD"/>
    <w:rsid w:val="00D76B27"/>
    <w:rsid w:val="00D76DEA"/>
    <w:rsid w:val="00D80D29"/>
    <w:rsid w:val="00D8144E"/>
    <w:rsid w:val="00D81AEC"/>
    <w:rsid w:val="00D83782"/>
    <w:rsid w:val="00D84B55"/>
    <w:rsid w:val="00D86663"/>
    <w:rsid w:val="00D91D28"/>
    <w:rsid w:val="00D920A4"/>
    <w:rsid w:val="00D96BAF"/>
    <w:rsid w:val="00DA2FDB"/>
    <w:rsid w:val="00DA365A"/>
    <w:rsid w:val="00DA5D7F"/>
    <w:rsid w:val="00DA5FAD"/>
    <w:rsid w:val="00DB0366"/>
    <w:rsid w:val="00DB28EA"/>
    <w:rsid w:val="00DB2E33"/>
    <w:rsid w:val="00DB335A"/>
    <w:rsid w:val="00DB3E21"/>
    <w:rsid w:val="00DB77E1"/>
    <w:rsid w:val="00DC31A0"/>
    <w:rsid w:val="00DC65BB"/>
    <w:rsid w:val="00DD2636"/>
    <w:rsid w:val="00DD3A30"/>
    <w:rsid w:val="00DD5477"/>
    <w:rsid w:val="00DD5ED2"/>
    <w:rsid w:val="00DD5FBC"/>
    <w:rsid w:val="00DD68ED"/>
    <w:rsid w:val="00DE19CC"/>
    <w:rsid w:val="00DE1CFF"/>
    <w:rsid w:val="00DE7D15"/>
    <w:rsid w:val="00DF535D"/>
    <w:rsid w:val="00DF709F"/>
    <w:rsid w:val="00E02DAA"/>
    <w:rsid w:val="00E10A89"/>
    <w:rsid w:val="00E11A12"/>
    <w:rsid w:val="00E12FB2"/>
    <w:rsid w:val="00E13938"/>
    <w:rsid w:val="00E13E19"/>
    <w:rsid w:val="00E16A75"/>
    <w:rsid w:val="00E23709"/>
    <w:rsid w:val="00E24BA0"/>
    <w:rsid w:val="00E26BE4"/>
    <w:rsid w:val="00E302F8"/>
    <w:rsid w:val="00E34C04"/>
    <w:rsid w:val="00E36399"/>
    <w:rsid w:val="00E36449"/>
    <w:rsid w:val="00E44767"/>
    <w:rsid w:val="00E461AF"/>
    <w:rsid w:val="00E52248"/>
    <w:rsid w:val="00E53251"/>
    <w:rsid w:val="00E55EC7"/>
    <w:rsid w:val="00E602A5"/>
    <w:rsid w:val="00E60910"/>
    <w:rsid w:val="00E63398"/>
    <w:rsid w:val="00E63628"/>
    <w:rsid w:val="00E650FD"/>
    <w:rsid w:val="00E660D8"/>
    <w:rsid w:val="00E669DA"/>
    <w:rsid w:val="00E66BFE"/>
    <w:rsid w:val="00E67730"/>
    <w:rsid w:val="00E70E6F"/>
    <w:rsid w:val="00E72DB9"/>
    <w:rsid w:val="00E72ED0"/>
    <w:rsid w:val="00E77564"/>
    <w:rsid w:val="00E77B8A"/>
    <w:rsid w:val="00E81A30"/>
    <w:rsid w:val="00E83A92"/>
    <w:rsid w:val="00E84C69"/>
    <w:rsid w:val="00E8592D"/>
    <w:rsid w:val="00E86AA1"/>
    <w:rsid w:val="00E91A5E"/>
    <w:rsid w:val="00E9277B"/>
    <w:rsid w:val="00E94AB1"/>
    <w:rsid w:val="00E94B08"/>
    <w:rsid w:val="00E94F57"/>
    <w:rsid w:val="00E9794A"/>
    <w:rsid w:val="00EA2645"/>
    <w:rsid w:val="00EA3C92"/>
    <w:rsid w:val="00EB0256"/>
    <w:rsid w:val="00EB0840"/>
    <w:rsid w:val="00EC1917"/>
    <w:rsid w:val="00EC65FC"/>
    <w:rsid w:val="00EC65FF"/>
    <w:rsid w:val="00ED59C1"/>
    <w:rsid w:val="00ED5A92"/>
    <w:rsid w:val="00ED5C37"/>
    <w:rsid w:val="00EE152D"/>
    <w:rsid w:val="00EF66EF"/>
    <w:rsid w:val="00EF7D7E"/>
    <w:rsid w:val="00F00383"/>
    <w:rsid w:val="00F00590"/>
    <w:rsid w:val="00F00805"/>
    <w:rsid w:val="00F02D3B"/>
    <w:rsid w:val="00F03B37"/>
    <w:rsid w:val="00F061B1"/>
    <w:rsid w:val="00F06AB6"/>
    <w:rsid w:val="00F06FC1"/>
    <w:rsid w:val="00F12D57"/>
    <w:rsid w:val="00F12FA6"/>
    <w:rsid w:val="00F15980"/>
    <w:rsid w:val="00F25397"/>
    <w:rsid w:val="00F27093"/>
    <w:rsid w:val="00F278AB"/>
    <w:rsid w:val="00F35DF0"/>
    <w:rsid w:val="00F36178"/>
    <w:rsid w:val="00F43EAF"/>
    <w:rsid w:val="00F45D09"/>
    <w:rsid w:val="00F46CF5"/>
    <w:rsid w:val="00F50B38"/>
    <w:rsid w:val="00F51D6C"/>
    <w:rsid w:val="00F64628"/>
    <w:rsid w:val="00F660B7"/>
    <w:rsid w:val="00F667C7"/>
    <w:rsid w:val="00F705E7"/>
    <w:rsid w:val="00F70D2F"/>
    <w:rsid w:val="00F72123"/>
    <w:rsid w:val="00F73DE7"/>
    <w:rsid w:val="00F80DB2"/>
    <w:rsid w:val="00F8106B"/>
    <w:rsid w:val="00F826CE"/>
    <w:rsid w:val="00F83154"/>
    <w:rsid w:val="00F839A0"/>
    <w:rsid w:val="00F87943"/>
    <w:rsid w:val="00F87961"/>
    <w:rsid w:val="00F90106"/>
    <w:rsid w:val="00F92B7F"/>
    <w:rsid w:val="00F9325C"/>
    <w:rsid w:val="00F94E67"/>
    <w:rsid w:val="00F953FC"/>
    <w:rsid w:val="00F9682E"/>
    <w:rsid w:val="00FA2B69"/>
    <w:rsid w:val="00FA5139"/>
    <w:rsid w:val="00FA7C20"/>
    <w:rsid w:val="00FA7D10"/>
    <w:rsid w:val="00FB0596"/>
    <w:rsid w:val="00FB1F59"/>
    <w:rsid w:val="00FB523D"/>
    <w:rsid w:val="00FB5418"/>
    <w:rsid w:val="00FB634A"/>
    <w:rsid w:val="00FB7392"/>
    <w:rsid w:val="00FC02D7"/>
    <w:rsid w:val="00FC27AF"/>
    <w:rsid w:val="00FC49A3"/>
    <w:rsid w:val="00FC4B0E"/>
    <w:rsid w:val="00FD1B6A"/>
    <w:rsid w:val="00FD4D95"/>
    <w:rsid w:val="00FE1013"/>
    <w:rsid w:val="00FE1070"/>
    <w:rsid w:val="00FE291D"/>
    <w:rsid w:val="00FE399C"/>
    <w:rsid w:val="00FE7905"/>
    <w:rsid w:val="00FF1254"/>
    <w:rsid w:val="00FF3A95"/>
    <w:rsid w:val="00FF61F6"/>
    <w:rsid w:val="00FF7A67"/>
    <w:rsid w:val="1BC2702A"/>
    <w:rsid w:val="727F38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ind w:firstLine="420" w:firstLineChars="200"/>
    </w:pPr>
    <w:rPr>
      <w:rFonts w:ascii="Times New Roman" w:hAnsi="Times New Roman" w:eastAsia="宋体" w:cs="Times New Roman"/>
      <w:szCs w:val="20"/>
    </w:rPr>
  </w:style>
  <w:style w:type="paragraph" w:customStyle="1" w:styleId="12">
    <w:name w:val="列出段落2"/>
    <w:basedOn w:val="1"/>
    <w:unhideWhenUsed/>
    <w:qFormat/>
    <w:uiPriority w:val="99"/>
    <w:pPr>
      <w:ind w:firstLine="420" w:firstLineChars="200"/>
    </w:pPr>
    <w:rPr>
      <w:rFonts w:ascii="Times New Roman" w:hAnsi="Times New Roman" w:eastAsia="宋体" w:cs="Times New Roman"/>
      <w:szCs w:val="20"/>
    </w:rPr>
  </w:style>
  <w:style w:type="character" w:customStyle="1" w:styleId="13">
    <w:name w:val="页眉 Char"/>
    <w:basedOn w:val="7"/>
    <w:link w:val="6"/>
    <w:qFormat/>
    <w:uiPriority w:val="99"/>
    <w:rPr>
      <w:sz w:val="18"/>
      <w:szCs w:val="18"/>
    </w:rPr>
  </w:style>
  <w:style w:type="character" w:customStyle="1" w:styleId="14">
    <w:name w:val="页脚 Char"/>
    <w:basedOn w:val="7"/>
    <w:link w:val="5"/>
    <w:qFormat/>
    <w:uiPriority w:val="99"/>
    <w:rPr>
      <w:sz w:val="18"/>
      <w:szCs w:val="18"/>
    </w:rPr>
  </w:style>
  <w:style w:type="character" w:customStyle="1" w:styleId="15">
    <w:name w:val="批注框文本 Char"/>
    <w:basedOn w:val="7"/>
    <w:link w:val="4"/>
    <w:semiHidden/>
    <w:qFormat/>
    <w:uiPriority w:val="99"/>
    <w:rPr>
      <w:kern w:val="2"/>
      <w:sz w:val="18"/>
      <w:szCs w:val="18"/>
    </w:rPr>
  </w:style>
  <w:style w:type="character" w:customStyle="1" w:styleId="16">
    <w:name w:val="批注文字 Char"/>
    <w:basedOn w:val="7"/>
    <w:link w:val="3"/>
    <w:semiHidden/>
    <w:qFormat/>
    <w:uiPriority w:val="99"/>
    <w:rPr>
      <w:kern w:val="2"/>
      <w:sz w:val="21"/>
      <w:szCs w:val="22"/>
    </w:rPr>
  </w:style>
  <w:style w:type="character" w:customStyle="1" w:styleId="17">
    <w:name w:val="批注主题 Char"/>
    <w:basedOn w:val="16"/>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0D6F9-D49E-4B6B-BC77-30C3B5B1FD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1029</Words>
  <Characters>5867</Characters>
  <Lines>48</Lines>
  <Paragraphs>13</Paragraphs>
  <TotalTime>0</TotalTime>
  <ScaleCrop>false</ScaleCrop>
  <LinksUpToDate>false</LinksUpToDate>
  <CharactersWithSpaces>6883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2016-04-12T02:15:00Z</dcterms:created>
  <dc:creator>黄凌燕</dc:creator>
  <cp:lastModifiedBy>SUNCHANGMING</cp:lastModifiedBy>
  <dcterms:modified xsi:type="dcterms:W3CDTF">2016-04-12T02:58:12Z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